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C33" w:rsidRPr="000A272F" w:rsidRDefault="004D5C33" w:rsidP="0046109E">
      <w:pPr>
        <w:spacing w:line="276" w:lineRule="auto"/>
        <w:jc w:val="center"/>
        <w:rPr>
          <w:rFonts w:ascii="Calibri" w:eastAsiaTheme="minorEastAsia" w:hAnsi="Calibri" w:cs="Calibri"/>
          <w:b/>
          <w:sz w:val="44"/>
          <w:szCs w:val="24"/>
        </w:rPr>
      </w:pPr>
      <w:bookmarkStart w:id="0" w:name="_GoBack"/>
      <w:bookmarkEnd w:id="0"/>
      <w:r w:rsidRPr="000A272F">
        <w:rPr>
          <w:rFonts w:ascii="Calibri" w:eastAsiaTheme="minorEastAsia" w:hAnsi="Calibri" w:cs="Calibri"/>
          <w:b/>
          <w:sz w:val="44"/>
          <w:szCs w:val="24"/>
        </w:rPr>
        <w:t xml:space="preserve">KSA </w:t>
      </w:r>
      <w:r w:rsidR="008C4264" w:rsidRPr="000A272F">
        <w:rPr>
          <w:rFonts w:ascii="Calibri" w:eastAsiaTheme="minorEastAsia" w:hAnsi="Calibri" w:cs="Calibri"/>
          <w:b/>
          <w:sz w:val="44"/>
          <w:szCs w:val="24"/>
        </w:rPr>
        <w:t xml:space="preserve">SRC </w:t>
      </w:r>
      <w:r w:rsidRPr="000A272F">
        <w:rPr>
          <w:rFonts w:ascii="Calibri" w:eastAsiaTheme="minorEastAsia" w:hAnsi="Calibri" w:cs="Calibri"/>
          <w:b/>
          <w:sz w:val="44"/>
          <w:szCs w:val="24"/>
        </w:rPr>
        <w:t>Country Report</w:t>
      </w:r>
      <w:r w:rsidR="00EC21E4">
        <w:rPr>
          <w:rFonts w:ascii="Calibri" w:eastAsiaTheme="minorEastAsia" w:hAnsi="Calibri" w:cs="Calibri"/>
          <w:b/>
          <w:sz w:val="44"/>
          <w:szCs w:val="24"/>
        </w:rPr>
        <w:t xml:space="preserve"> 2019</w:t>
      </w:r>
    </w:p>
    <w:p w:rsidR="004A31EB" w:rsidRDefault="004A31EB" w:rsidP="004A31EB">
      <w:pPr>
        <w:rPr>
          <w:rFonts w:ascii="Calibri" w:eastAsiaTheme="minorEastAsia" w:hAnsi="Calibri" w:cs="Calibri"/>
          <w:b/>
          <w:sz w:val="44"/>
          <w:szCs w:val="24"/>
        </w:rPr>
      </w:pPr>
    </w:p>
    <w:p w:rsidR="00E876F1" w:rsidRDefault="00E876F1" w:rsidP="004A31EB">
      <w:pPr>
        <w:rPr>
          <w:rFonts w:ascii="Calibri" w:eastAsiaTheme="minorEastAsia" w:hAnsi="Calibri" w:cs="Calibri"/>
          <w:b/>
          <w:sz w:val="28"/>
          <w:szCs w:val="24"/>
        </w:rPr>
      </w:pPr>
    </w:p>
    <w:p w:rsidR="00F6276C" w:rsidRPr="00F6276C" w:rsidRDefault="00F6276C" w:rsidP="004A31EB">
      <w:pPr>
        <w:rPr>
          <w:rFonts w:ascii="Calibri" w:eastAsiaTheme="minorEastAsia" w:hAnsi="Calibri" w:cs="Calibri"/>
          <w:b/>
          <w:sz w:val="28"/>
          <w:szCs w:val="24"/>
        </w:rPr>
      </w:pPr>
    </w:p>
    <w:p w:rsidR="00957989" w:rsidRPr="000A272F" w:rsidRDefault="004A31EB" w:rsidP="004A31EB">
      <w:pPr>
        <w:rPr>
          <w:rFonts w:ascii="Calibri" w:hAnsi="Calibri" w:cs="Calibri"/>
          <w:b/>
          <w:sz w:val="28"/>
          <w:szCs w:val="24"/>
        </w:rPr>
      </w:pPr>
      <w:r w:rsidRPr="000A272F">
        <w:rPr>
          <w:rFonts w:ascii="Calibri" w:hAnsi="Calibri" w:cs="Calibri"/>
          <w:b/>
          <w:sz w:val="28"/>
          <w:szCs w:val="24"/>
        </w:rPr>
        <w:t xml:space="preserve">1. </w:t>
      </w:r>
      <w:r w:rsidR="00957989" w:rsidRPr="000A272F">
        <w:rPr>
          <w:rFonts w:ascii="Calibri" w:hAnsi="Calibri" w:cs="Calibri"/>
          <w:b/>
          <w:sz w:val="28"/>
          <w:szCs w:val="24"/>
        </w:rPr>
        <w:t>Progress of HKC ratification process in</w:t>
      </w:r>
      <w:r w:rsidR="00C22CE9">
        <w:rPr>
          <w:rFonts w:ascii="Calibri" w:hAnsi="Calibri" w:cs="Calibri"/>
          <w:b/>
          <w:sz w:val="28"/>
          <w:szCs w:val="24"/>
        </w:rPr>
        <w:t xml:space="preserve"> the Republic of</w:t>
      </w:r>
      <w:r w:rsidR="008C4264" w:rsidRPr="000A272F">
        <w:rPr>
          <w:rFonts w:ascii="Calibri" w:hAnsi="Calibri" w:cs="Calibri"/>
          <w:b/>
          <w:sz w:val="28"/>
          <w:szCs w:val="24"/>
        </w:rPr>
        <w:t xml:space="preserve"> Korea.</w:t>
      </w:r>
    </w:p>
    <w:p w:rsidR="008C4264" w:rsidRDefault="008C4264" w:rsidP="008C4264">
      <w:pPr>
        <w:spacing w:line="276" w:lineRule="auto"/>
        <w:rPr>
          <w:rFonts w:ascii="Calibri" w:eastAsiaTheme="minorEastAsia" w:hAnsi="Calibri" w:cs="Calibri"/>
          <w:sz w:val="28"/>
          <w:szCs w:val="24"/>
        </w:rPr>
      </w:pPr>
    </w:p>
    <w:p w:rsidR="00D86148" w:rsidRDefault="00450666" w:rsidP="008C4264">
      <w:pPr>
        <w:spacing w:line="276" w:lineRule="auto"/>
        <w:rPr>
          <w:rFonts w:ascii="Calibri" w:eastAsiaTheme="minorEastAsia" w:hAnsi="Calibri" w:cs="Calibri"/>
          <w:sz w:val="24"/>
          <w:szCs w:val="24"/>
        </w:rPr>
      </w:pPr>
      <w:r>
        <w:rPr>
          <w:rFonts w:ascii="Calibri" w:eastAsiaTheme="minorEastAsia" w:hAnsi="Calibri" w:cs="Calibri" w:hint="eastAsia"/>
          <w:sz w:val="24"/>
          <w:szCs w:val="24"/>
        </w:rPr>
        <w:t>K</w:t>
      </w:r>
      <w:r>
        <w:rPr>
          <w:rFonts w:ascii="Calibri" w:eastAsiaTheme="minorEastAsia" w:hAnsi="Calibri" w:cs="Calibri"/>
          <w:sz w:val="24"/>
          <w:szCs w:val="24"/>
        </w:rPr>
        <w:t>orean government has not ratified the Hong Kong Convention (HKC)</w:t>
      </w:r>
      <w:r w:rsidR="00F6276C">
        <w:rPr>
          <w:rFonts w:ascii="Calibri" w:eastAsiaTheme="minorEastAsia" w:hAnsi="Calibri" w:cs="Calibri"/>
          <w:sz w:val="24"/>
          <w:szCs w:val="24"/>
        </w:rPr>
        <w:t xml:space="preserve"> at this stage.</w:t>
      </w:r>
      <w:r>
        <w:rPr>
          <w:rFonts w:ascii="Calibri" w:eastAsiaTheme="minorEastAsia" w:hAnsi="Calibri" w:cs="Calibri"/>
          <w:sz w:val="24"/>
          <w:szCs w:val="24"/>
        </w:rPr>
        <w:t xml:space="preserve"> </w:t>
      </w:r>
      <w:r w:rsidR="00F6276C">
        <w:rPr>
          <w:rFonts w:ascii="Calibri" w:eastAsiaTheme="minorEastAsia" w:hAnsi="Calibri" w:cs="Calibri"/>
          <w:sz w:val="24"/>
          <w:szCs w:val="24"/>
        </w:rPr>
        <w:t>H</w:t>
      </w:r>
      <w:r w:rsidR="00A70ECB">
        <w:rPr>
          <w:rFonts w:ascii="Calibri" w:eastAsiaTheme="minorEastAsia" w:hAnsi="Calibri" w:cs="Calibri"/>
          <w:sz w:val="24"/>
          <w:szCs w:val="24"/>
        </w:rPr>
        <w:t>oweve</w:t>
      </w:r>
      <w:r>
        <w:rPr>
          <w:rFonts w:ascii="Calibri" w:eastAsiaTheme="minorEastAsia" w:hAnsi="Calibri" w:cs="Calibri"/>
          <w:sz w:val="24"/>
          <w:szCs w:val="24"/>
        </w:rPr>
        <w:t xml:space="preserve">r, </w:t>
      </w:r>
      <w:r w:rsidR="00F6276C">
        <w:rPr>
          <w:rFonts w:ascii="Calibri" w:eastAsiaTheme="minorEastAsia" w:hAnsi="Calibri" w:cs="Calibri"/>
          <w:sz w:val="24"/>
          <w:szCs w:val="24"/>
        </w:rPr>
        <w:t xml:space="preserve">the government </w:t>
      </w:r>
      <w:r w:rsidR="00A70ECB">
        <w:rPr>
          <w:rFonts w:ascii="Calibri" w:eastAsiaTheme="minorEastAsia" w:hAnsi="Calibri" w:cs="Calibri"/>
          <w:sz w:val="24"/>
          <w:szCs w:val="24"/>
        </w:rPr>
        <w:t>is</w:t>
      </w:r>
      <w:r>
        <w:rPr>
          <w:rFonts w:ascii="Calibri" w:eastAsiaTheme="minorEastAsia" w:hAnsi="Calibri" w:cs="Calibri"/>
          <w:sz w:val="24"/>
          <w:szCs w:val="24"/>
        </w:rPr>
        <w:t xml:space="preserve"> paying sharp attention to the ratification </w:t>
      </w:r>
      <w:r w:rsidR="00D847DF">
        <w:rPr>
          <w:rFonts w:ascii="Calibri" w:eastAsiaTheme="minorEastAsia" w:hAnsi="Calibri" w:cs="Calibri"/>
          <w:sz w:val="24"/>
          <w:szCs w:val="24"/>
        </w:rPr>
        <w:t>trend</w:t>
      </w:r>
      <w:r>
        <w:rPr>
          <w:rFonts w:ascii="Calibri" w:eastAsiaTheme="minorEastAsia" w:hAnsi="Calibri" w:cs="Calibri"/>
          <w:sz w:val="24"/>
          <w:szCs w:val="24"/>
        </w:rPr>
        <w:t xml:space="preserve"> of Hong Kong Convention.</w:t>
      </w:r>
    </w:p>
    <w:p w:rsidR="00D86148" w:rsidRDefault="00D86148" w:rsidP="008C4264">
      <w:pPr>
        <w:spacing w:line="276" w:lineRule="auto"/>
        <w:rPr>
          <w:rFonts w:ascii="Calibri" w:eastAsiaTheme="minorEastAsia" w:hAnsi="Calibri" w:cs="Calibri"/>
          <w:sz w:val="24"/>
          <w:szCs w:val="24"/>
        </w:rPr>
      </w:pPr>
    </w:p>
    <w:p w:rsidR="00F6276C" w:rsidRDefault="00F6276C" w:rsidP="008C4264">
      <w:pPr>
        <w:spacing w:line="276" w:lineRule="auto"/>
        <w:rPr>
          <w:rFonts w:ascii="Calibri" w:eastAsiaTheme="minorEastAsia" w:hAnsi="Calibri" w:cs="Calibri"/>
          <w:sz w:val="24"/>
          <w:szCs w:val="24"/>
        </w:rPr>
      </w:pPr>
    </w:p>
    <w:p w:rsidR="00F6276C" w:rsidRPr="00A70ECB" w:rsidRDefault="00F6276C" w:rsidP="008C4264">
      <w:pPr>
        <w:spacing w:line="276" w:lineRule="auto"/>
        <w:rPr>
          <w:rFonts w:ascii="Calibri" w:eastAsiaTheme="minorEastAsia" w:hAnsi="Calibri" w:cs="Calibri"/>
          <w:sz w:val="24"/>
          <w:szCs w:val="24"/>
        </w:rPr>
      </w:pPr>
    </w:p>
    <w:p w:rsidR="00D86148" w:rsidRDefault="00D86148" w:rsidP="008C4264">
      <w:pPr>
        <w:spacing w:line="276" w:lineRule="auto"/>
        <w:rPr>
          <w:rFonts w:ascii="Calibri" w:eastAsiaTheme="minorEastAsia" w:hAnsi="Calibri" w:cs="Calibri"/>
          <w:sz w:val="24"/>
          <w:szCs w:val="24"/>
        </w:rPr>
      </w:pPr>
    </w:p>
    <w:p w:rsidR="008C4264" w:rsidRPr="000A272F" w:rsidRDefault="004A31EB" w:rsidP="008C4264">
      <w:pPr>
        <w:spacing w:line="276" w:lineRule="auto"/>
        <w:rPr>
          <w:rFonts w:ascii="Calibri" w:hAnsi="Calibri" w:cs="Calibri"/>
          <w:b/>
          <w:sz w:val="28"/>
          <w:szCs w:val="24"/>
        </w:rPr>
      </w:pPr>
      <w:r w:rsidRPr="000A272F">
        <w:rPr>
          <w:rFonts w:ascii="Calibri" w:hAnsi="Calibri" w:cs="Calibri"/>
          <w:b/>
          <w:sz w:val="28"/>
          <w:szCs w:val="24"/>
        </w:rPr>
        <w:t>2</w:t>
      </w:r>
      <w:r w:rsidR="008C4264" w:rsidRPr="000A272F">
        <w:rPr>
          <w:rFonts w:ascii="Calibri" w:hAnsi="Calibri" w:cs="Calibri"/>
          <w:b/>
          <w:sz w:val="28"/>
          <w:szCs w:val="24"/>
        </w:rPr>
        <w:t>. Comments regarding ship recycling results in 2016, 2017 and 2018</w:t>
      </w:r>
      <w:r w:rsidR="002F18E9">
        <w:rPr>
          <w:rFonts w:ascii="Calibri" w:hAnsi="Calibri" w:cs="Calibri"/>
          <w:b/>
          <w:sz w:val="28"/>
          <w:szCs w:val="24"/>
        </w:rPr>
        <w:t>.</w:t>
      </w:r>
    </w:p>
    <w:p w:rsidR="00460103" w:rsidRDefault="00460103" w:rsidP="00460103">
      <w:pPr>
        <w:spacing w:line="276" w:lineRule="auto"/>
        <w:rPr>
          <w:rFonts w:ascii="Calibri" w:eastAsiaTheme="minorEastAsia" w:hAnsi="Calibri" w:cs="Calibri"/>
          <w:sz w:val="24"/>
          <w:szCs w:val="24"/>
        </w:rPr>
      </w:pPr>
    </w:p>
    <w:p w:rsidR="00460103" w:rsidRDefault="00460103" w:rsidP="00460103">
      <w:pPr>
        <w:spacing w:line="276" w:lineRule="auto"/>
        <w:rPr>
          <w:rFonts w:ascii="Calibri" w:eastAsiaTheme="minorEastAsia" w:hAnsi="Calibri" w:cs="Calibri"/>
          <w:sz w:val="24"/>
          <w:szCs w:val="24"/>
        </w:rPr>
      </w:pPr>
      <w:r>
        <w:rPr>
          <w:rFonts w:ascii="Calibri" w:eastAsiaTheme="minorEastAsia" w:hAnsi="Calibri" w:cs="Calibri"/>
          <w:sz w:val="24"/>
          <w:szCs w:val="24"/>
        </w:rPr>
        <w:t xml:space="preserve">In 2016, the most number of Korean vessels were recycled in Bangladesh, but in 2017, it was Pakistan. In 2018, </w:t>
      </w:r>
      <w:proofErr w:type="gramStart"/>
      <w:r w:rsidRPr="000A272F">
        <w:rPr>
          <w:rFonts w:ascii="Calibri" w:eastAsiaTheme="minorEastAsia" w:hAnsi="Calibri" w:cs="Calibri"/>
          <w:sz w:val="24"/>
          <w:szCs w:val="24"/>
        </w:rPr>
        <w:t>The</w:t>
      </w:r>
      <w:proofErr w:type="gramEnd"/>
      <w:r w:rsidRPr="000A272F">
        <w:rPr>
          <w:rFonts w:ascii="Calibri" w:eastAsiaTheme="minorEastAsia" w:hAnsi="Calibri" w:cs="Calibri"/>
          <w:sz w:val="24"/>
          <w:szCs w:val="24"/>
        </w:rPr>
        <w:t xml:space="preserve"> major countries in which Korean vessels were scrapped were Bangladesh, Pakistan and India in order.</w:t>
      </w:r>
    </w:p>
    <w:p w:rsidR="00E876F1" w:rsidRDefault="00E876F1" w:rsidP="00460103">
      <w:pPr>
        <w:spacing w:line="276" w:lineRule="auto"/>
        <w:rPr>
          <w:rFonts w:ascii="Calibri" w:eastAsiaTheme="minorEastAsia" w:hAnsi="Calibri" w:cs="Calibri"/>
          <w:sz w:val="24"/>
          <w:szCs w:val="24"/>
        </w:rPr>
      </w:pPr>
    </w:p>
    <w:p w:rsidR="00704209" w:rsidRPr="000A272F" w:rsidRDefault="00704209" w:rsidP="00460103">
      <w:pPr>
        <w:spacing w:line="276" w:lineRule="auto"/>
        <w:rPr>
          <w:rFonts w:ascii="Calibri" w:eastAsiaTheme="minorEastAsia" w:hAnsi="Calibri" w:cs="Calibri"/>
          <w:sz w:val="24"/>
          <w:szCs w:val="24"/>
        </w:rPr>
      </w:pPr>
    </w:p>
    <w:p w:rsidR="00866E65" w:rsidRPr="000A272F" w:rsidRDefault="00866E65" w:rsidP="00445C83">
      <w:pPr>
        <w:spacing w:line="276" w:lineRule="auto"/>
        <w:ind w:firstLineChars="450" w:firstLine="1260"/>
        <w:rPr>
          <w:rFonts w:ascii="Calibri" w:eastAsiaTheme="minorEastAsia" w:hAnsi="Calibri" w:cs="Calibri"/>
          <w:b/>
          <w:sz w:val="28"/>
          <w:szCs w:val="24"/>
        </w:rPr>
      </w:pPr>
      <w:r w:rsidRPr="000A272F">
        <w:rPr>
          <w:rFonts w:ascii="Calibri" w:eastAsiaTheme="minorEastAsia" w:hAnsi="Calibri" w:cs="Calibri"/>
          <w:b/>
          <w:sz w:val="28"/>
          <w:szCs w:val="24"/>
        </w:rPr>
        <w:t xml:space="preserve">&lt; </w:t>
      </w:r>
      <w:r w:rsidR="00ED7D85" w:rsidRPr="000A272F">
        <w:rPr>
          <w:rFonts w:ascii="Calibri" w:eastAsiaTheme="minorEastAsia" w:hAnsi="Calibri" w:cs="Calibri"/>
          <w:b/>
          <w:sz w:val="28"/>
          <w:szCs w:val="24"/>
        </w:rPr>
        <w:t xml:space="preserve">Demolition </w:t>
      </w:r>
      <w:r w:rsidRPr="000A272F">
        <w:rPr>
          <w:rFonts w:ascii="Calibri" w:eastAsiaTheme="minorEastAsia" w:hAnsi="Calibri" w:cs="Calibri"/>
          <w:b/>
          <w:sz w:val="28"/>
          <w:szCs w:val="24"/>
        </w:rPr>
        <w:t>Vo</w:t>
      </w:r>
      <w:r w:rsidRPr="000A272F">
        <w:rPr>
          <w:rFonts w:ascii="Calibri" w:hAnsi="Calibri" w:cs="Calibri"/>
          <w:b/>
          <w:sz w:val="28"/>
          <w:szCs w:val="24"/>
        </w:rPr>
        <w:t xml:space="preserve">lume </w:t>
      </w:r>
      <w:r w:rsidR="00445C83">
        <w:rPr>
          <w:rFonts w:ascii="Calibri" w:hAnsi="Calibri" w:cs="Calibri"/>
          <w:b/>
          <w:sz w:val="28"/>
          <w:szCs w:val="24"/>
        </w:rPr>
        <w:t xml:space="preserve">of Korean vessels </w:t>
      </w:r>
      <w:r w:rsidR="003F77AA" w:rsidRPr="000A272F">
        <w:rPr>
          <w:rFonts w:ascii="Calibri" w:hAnsi="Calibri" w:cs="Calibri"/>
          <w:b/>
          <w:sz w:val="28"/>
          <w:szCs w:val="24"/>
        </w:rPr>
        <w:t xml:space="preserve">by the Countries </w:t>
      </w:r>
      <w:r w:rsidRPr="000A272F">
        <w:rPr>
          <w:rFonts w:ascii="Calibri" w:hAnsi="Calibri" w:cs="Calibri"/>
          <w:b/>
          <w:sz w:val="28"/>
          <w:szCs w:val="24"/>
        </w:rPr>
        <w:t>&gt;</w:t>
      </w:r>
    </w:p>
    <w:tbl>
      <w:tblPr>
        <w:tblpPr w:leftFromText="142" w:rightFromText="142" w:vertAnchor="text" w:horzAnchor="margin" w:tblpXSpec="center" w:tblpY="63"/>
        <w:tblW w:w="8217" w:type="dxa"/>
        <w:tblCellMar>
          <w:left w:w="99" w:type="dxa"/>
          <w:right w:w="99" w:type="dxa"/>
        </w:tblCellMar>
        <w:tblLook w:val="04A0" w:firstRow="1" w:lastRow="0" w:firstColumn="1" w:lastColumn="0" w:noHBand="0" w:noVBand="1"/>
      </w:tblPr>
      <w:tblGrid>
        <w:gridCol w:w="1554"/>
        <w:gridCol w:w="1024"/>
        <w:gridCol w:w="1197"/>
        <w:gridCol w:w="1024"/>
        <w:gridCol w:w="1197"/>
        <w:gridCol w:w="1024"/>
        <w:gridCol w:w="1197"/>
      </w:tblGrid>
      <w:tr w:rsidR="004F6004" w:rsidRPr="000A272F" w:rsidTr="00460103">
        <w:trPr>
          <w:trHeight w:val="422"/>
        </w:trPr>
        <w:tc>
          <w:tcPr>
            <w:tcW w:w="15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6004" w:rsidRPr="000A272F" w:rsidRDefault="004F6004" w:rsidP="004F6004">
            <w:pP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 xml:space="preserve">　</w:t>
            </w:r>
          </w:p>
        </w:tc>
        <w:tc>
          <w:tcPr>
            <w:tcW w:w="2221" w:type="dxa"/>
            <w:gridSpan w:val="2"/>
            <w:tcBorders>
              <w:top w:val="single" w:sz="4" w:space="0" w:color="auto"/>
              <w:left w:val="nil"/>
              <w:bottom w:val="single" w:sz="4" w:space="0" w:color="auto"/>
              <w:right w:val="single" w:sz="4" w:space="0" w:color="auto"/>
            </w:tcBorders>
            <w:shd w:val="clear" w:color="auto" w:fill="auto"/>
            <w:vAlign w:val="center"/>
            <w:hideMark/>
          </w:tcPr>
          <w:p w:rsidR="004F6004" w:rsidRPr="000A272F" w:rsidRDefault="004F6004" w:rsidP="004F6004">
            <w:pPr>
              <w:jc w:val="cente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2016</w:t>
            </w:r>
          </w:p>
        </w:tc>
        <w:tc>
          <w:tcPr>
            <w:tcW w:w="2221" w:type="dxa"/>
            <w:gridSpan w:val="2"/>
            <w:tcBorders>
              <w:top w:val="single" w:sz="4" w:space="0" w:color="auto"/>
              <w:left w:val="nil"/>
              <w:bottom w:val="single" w:sz="4" w:space="0" w:color="auto"/>
              <w:right w:val="single" w:sz="4" w:space="0" w:color="auto"/>
            </w:tcBorders>
            <w:shd w:val="clear" w:color="auto" w:fill="auto"/>
            <w:vAlign w:val="center"/>
            <w:hideMark/>
          </w:tcPr>
          <w:p w:rsidR="004F6004" w:rsidRPr="000A272F" w:rsidRDefault="004F6004" w:rsidP="004F6004">
            <w:pPr>
              <w:jc w:val="cente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2017</w:t>
            </w:r>
          </w:p>
        </w:tc>
        <w:tc>
          <w:tcPr>
            <w:tcW w:w="2221" w:type="dxa"/>
            <w:gridSpan w:val="2"/>
            <w:tcBorders>
              <w:top w:val="single" w:sz="4" w:space="0" w:color="auto"/>
              <w:left w:val="nil"/>
              <w:bottom w:val="single" w:sz="4" w:space="0" w:color="auto"/>
              <w:right w:val="single" w:sz="4" w:space="0" w:color="auto"/>
            </w:tcBorders>
            <w:shd w:val="clear" w:color="auto" w:fill="auto"/>
            <w:vAlign w:val="center"/>
            <w:hideMark/>
          </w:tcPr>
          <w:p w:rsidR="004F6004" w:rsidRPr="000A272F" w:rsidRDefault="004F6004" w:rsidP="004F6004">
            <w:pPr>
              <w:jc w:val="cente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2018</w:t>
            </w:r>
          </w:p>
        </w:tc>
      </w:tr>
      <w:tr w:rsidR="004F6004" w:rsidRPr="000A272F" w:rsidTr="00460103">
        <w:trPr>
          <w:trHeight w:val="400"/>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4F6004" w:rsidRPr="000A272F" w:rsidRDefault="004F6004" w:rsidP="004F6004">
            <w:pPr>
              <w:jc w:val="left"/>
              <w:rPr>
                <w:rFonts w:ascii="Calibri" w:eastAsia="Malgun Gothic" w:hAnsi="Calibri" w:cs="Calibri"/>
                <w:b/>
                <w:bCs/>
                <w:color w:val="000000"/>
                <w:sz w:val="24"/>
                <w:szCs w:val="22"/>
              </w:rPr>
            </w:pPr>
          </w:p>
        </w:tc>
        <w:tc>
          <w:tcPr>
            <w:tcW w:w="1024"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cente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No</w:t>
            </w:r>
            <w:r w:rsidR="00261CCC" w:rsidRPr="000A272F">
              <w:rPr>
                <w:rFonts w:ascii="Calibri" w:eastAsia="Malgun Gothic" w:hAnsi="Calibri" w:cs="Calibri"/>
                <w:b/>
                <w:bCs/>
                <w:color w:val="000000"/>
                <w:sz w:val="24"/>
                <w:szCs w:val="22"/>
              </w:rPr>
              <w:t>.</w:t>
            </w:r>
          </w:p>
        </w:tc>
        <w:tc>
          <w:tcPr>
            <w:tcW w:w="1197"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cente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DWT</w:t>
            </w:r>
          </w:p>
        </w:tc>
        <w:tc>
          <w:tcPr>
            <w:tcW w:w="1024"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cente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No</w:t>
            </w:r>
            <w:r w:rsidR="00261CCC" w:rsidRPr="000A272F">
              <w:rPr>
                <w:rFonts w:ascii="Calibri" w:eastAsia="Malgun Gothic" w:hAnsi="Calibri" w:cs="Calibri"/>
                <w:b/>
                <w:bCs/>
                <w:color w:val="000000"/>
                <w:sz w:val="24"/>
                <w:szCs w:val="22"/>
              </w:rPr>
              <w:t>.</w:t>
            </w:r>
          </w:p>
        </w:tc>
        <w:tc>
          <w:tcPr>
            <w:tcW w:w="1197"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cente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DWT</w:t>
            </w:r>
          </w:p>
        </w:tc>
        <w:tc>
          <w:tcPr>
            <w:tcW w:w="1024"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cente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No</w:t>
            </w:r>
            <w:r w:rsidR="00261CCC" w:rsidRPr="000A272F">
              <w:rPr>
                <w:rFonts w:ascii="Calibri" w:eastAsia="Malgun Gothic" w:hAnsi="Calibri" w:cs="Calibri"/>
                <w:b/>
                <w:bCs/>
                <w:color w:val="000000"/>
                <w:sz w:val="24"/>
                <w:szCs w:val="22"/>
              </w:rPr>
              <w:t>.</w:t>
            </w:r>
          </w:p>
        </w:tc>
        <w:tc>
          <w:tcPr>
            <w:tcW w:w="1197"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cente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DWT</w:t>
            </w:r>
          </w:p>
        </w:tc>
      </w:tr>
      <w:tr w:rsidR="00D812C1" w:rsidRPr="000A272F" w:rsidTr="00267C8F">
        <w:trPr>
          <w:trHeight w:val="448"/>
        </w:trPr>
        <w:tc>
          <w:tcPr>
            <w:tcW w:w="1554" w:type="dxa"/>
            <w:tcBorders>
              <w:top w:val="nil"/>
              <w:left w:val="single" w:sz="4" w:space="0" w:color="auto"/>
              <w:bottom w:val="single" w:sz="4" w:space="0" w:color="auto"/>
              <w:right w:val="single" w:sz="4" w:space="0" w:color="auto"/>
            </w:tcBorders>
            <w:shd w:val="clear" w:color="auto" w:fill="auto"/>
            <w:vAlign w:val="center"/>
            <w:hideMark/>
          </w:tcPr>
          <w:p w:rsidR="004F6004" w:rsidRPr="000A272F" w:rsidRDefault="004F6004" w:rsidP="004F6004">
            <w:pP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Bangladesh</w:t>
            </w:r>
          </w:p>
        </w:tc>
        <w:tc>
          <w:tcPr>
            <w:tcW w:w="1024" w:type="dxa"/>
            <w:tcBorders>
              <w:top w:val="nil"/>
              <w:left w:val="nil"/>
              <w:bottom w:val="single" w:sz="4" w:space="0" w:color="auto"/>
              <w:right w:val="single" w:sz="4" w:space="0" w:color="auto"/>
            </w:tcBorders>
            <w:shd w:val="clear" w:color="auto" w:fill="auto"/>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25</w:t>
            </w:r>
          </w:p>
        </w:tc>
        <w:tc>
          <w:tcPr>
            <w:tcW w:w="1197" w:type="dxa"/>
            <w:tcBorders>
              <w:top w:val="nil"/>
              <w:left w:val="nil"/>
              <w:bottom w:val="single" w:sz="4" w:space="0" w:color="auto"/>
              <w:right w:val="single" w:sz="4" w:space="0" w:color="auto"/>
            </w:tcBorders>
            <w:shd w:val="clear" w:color="auto" w:fill="auto"/>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2,255,734</w:t>
            </w:r>
          </w:p>
        </w:tc>
        <w:tc>
          <w:tcPr>
            <w:tcW w:w="1024" w:type="dxa"/>
            <w:tcBorders>
              <w:top w:val="nil"/>
              <w:left w:val="nil"/>
              <w:bottom w:val="single" w:sz="4" w:space="0" w:color="auto"/>
              <w:right w:val="single" w:sz="4" w:space="0" w:color="auto"/>
            </w:tcBorders>
            <w:shd w:val="clear" w:color="auto" w:fill="auto"/>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13</w:t>
            </w:r>
          </w:p>
        </w:tc>
        <w:tc>
          <w:tcPr>
            <w:tcW w:w="1197" w:type="dxa"/>
            <w:tcBorders>
              <w:top w:val="nil"/>
              <w:left w:val="nil"/>
              <w:bottom w:val="single" w:sz="4" w:space="0" w:color="auto"/>
              <w:right w:val="single" w:sz="4" w:space="0" w:color="auto"/>
            </w:tcBorders>
            <w:shd w:val="clear" w:color="auto" w:fill="auto"/>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593,600</w:t>
            </w:r>
          </w:p>
        </w:tc>
        <w:tc>
          <w:tcPr>
            <w:tcW w:w="1024" w:type="dxa"/>
            <w:tcBorders>
              <w:top w:val="nil"/>
              <w:left w:val="nil"/>
              <w:bottom w:val="single" w:sz="4" w:space="0" w:color="auto"/>
              <w:right w:val="single" w:sz="4" w:space="0" w:color="auto"/>
            </w:tcBorders>
            <w:shd w:val="clear" w:color="auto" w:fill="auto"/>
            <w:vAlign w:val="center"/>
            <w:hideMark/>
          </w:tcPr>
          <w:p w:rsidR="004F6004" w:rsidRPr="000A272F" w:rsidRDefault="00E71BB4" w:rsidP="004F6004">
            <w:pPr>
              <w:jc w:val="right"/>
              <w:rPr>
                <w:rFonts w:ascii="Calibri" w:eastAsia="Malgun Gothic" w:hAnsi="Calibri" w:cs="Calibri"/>
                <w:color w:val="000000"/>
                <w:sz w:val="24"/>
                <w:szCs w:val="22"/>
              </w:rPr>
            </w:pPr>
            <w:r>
              <w:rPr>
                <w:rFonts w:ascii="Calibri" w:eastAsia="Malgun Gothic" w:hAnsi="Calibri" w:cs="Calibri" w:hint="eastAsia"/>
                <w:color w:val="000000"/>
                <w:sz w:val="24"/>
                <w:szCs w:val="22"/>
              </w:rPr>
              <w:t>1</w:t>
            </w:r>
            <w:r>
              <w:rPr>
                <w:rFonts w:ascii="Calibri" w:eastAsia="Malgun Gothic" w:hAnsi="Calibri" w:cs="Calibri"/>
                <w:color w:val="000000"/>
                <w:sz w:val="24"/>
                <w:szCs w:val="22"/>
              </w:rPr>
              <w:t>5</w:t>
            </w:r>
          </w:p>
        </w:tc>
        <w:tc>
          <w:tcPr>
            <w:tcW w:w="1197" w:type="dxa"/>
            <w:tcBorders>
              <w:top w:val="nil"/>
              <w:left w:val="nil"/>
              <w:bottom w:val="single" w:sz="4" w:space="0" w:color="auto"/>
              <w:right w:val="single" w:sz="4" w:space="0" w:color="auto"/>
            </w:tcBorders>
            <w:shd w:val="clear" w:color="auto" w:fill="auto"/>
            <w:vAlign w:val="center"/>
            <w:hideMark/>
          </w:tcPr>
          <w:p w:rsidR="004F6004" w:rsidRPr="000A272F" w:rsidRDefault="00E71BB4" w:rsidP="004F6004">
            <w:pPr>
              <w:jc w:val="right"/>
              <w:rPr>
                <w:rFonts w:ascii="Calibri" w:eastAsia="Malgun Gothic" w:hAnsi="Calibri" w:cs="Calibri"/>
                <w:color w:val="000000"/>
                <w:sz w:val="24"/>
                <w:szCs w:val="22"/>
              </w:rPr>
            </w:pPr>
            <w:r>
              <w:rPr>
                <w:rFonts w:ascii="Calibri" w:eastAsia="Malgun Gothic" w:hAnsi="Calibri" w:cs="Calibri"/>
                <w:color w:val="000000"/>
                <w:sz w:val="24"/>
                <w:szCs w:val="22"/>
              </w:rPr>
              <w:t>1</w:t>
            </w:r>
            <w:r w:rsidR="004F6004" w:rsidRPr="000A272F">
              <w:rPr>
                <w:rFonts w:ascii="Calibri" w:eastAsia="Malgun Gothic" w:hAnsi="Calibri" w:cs="Calibri"/>
                <w:color w:val="000000"/>
                <w:sz w:val="24"/>
                <w:szCs w:val="22"/>
              </w:rPr>
              <w:t>,</w:t>
            </w:r>
            <w:r>
              <w:rPr>
                <w:rFonts w:ascii="Calibri" w:eastAsia="Malgun Gothic" w:hAnsi="Calibri" w:cs="Calibri"/>
                <w:color w:val="000000"/>
                <w:sz w:val="24"/>
                <w:szCs w:val="22"/>
              </w:rPr>
              <w:t>731</w:t>
            </w:r>
            <w:r w:rsidR="004F6004" w:rsidRPr="000A272F">
              <w:rPr>
                <w:rFonts w:ascii="Calibri" w:eastAsia="Malgun Gothic" w:hAnsi="Calibri" w:cs="Calibri"/>
                <w:color w:val="000000"/>
                <w:sz w:val="24"/>
                <w:szCs w:val="22"/>
              </w:rPr>
              <w:t>,</w:t>
            </w:r>
            <w:r>
              <w:rPr>
                <w:rFonts w:ascii="Calibri" w:eastAsia="Malgun Gothic" w:hAnsi="Calibri" w:cs="Calibri"/>
                <w:color w:val="000000"/>
                <w:sz w:val="24"/>
                <w:szCs w:val="22"/>
              </w:rPr>
              <w:t>829</w:t>
            </w:r>
          </w:p>
        </w:tc>
      </w:tr>
      <w:tr w:rsidR="004F6004" w:rsidRPr="000A272F" w:rsidTr="00267C8F">
        <w:trPr>
          <w:trHeight w:val="448"/>
        </w:trPr>
        <w:tc>
          <w:tcPr>
            <w:tcW w:w="1554" w:type="dxa"/>
            <w:tcBorders>
              <w:top w:val="nil"/>
              <w:left w:val="single" w:sz="4" w:space="0" w:color="auto"/>
              <w:bottom w:val="single" w:sz="4" w:space="0" w:color="auto"/>
              <w:right w:val="single" w:sz="4" w:space="0" w:color="auto"/>
            </w:tcBorders>
            <w:shd w:val="clear" w:color="000000" w:fill="D3DFEE"/>
            <w:vAlign w:val="center"/>
            <w:hideMark/>
          </w:tcPr>
          <w:p w:rsidR="004F6004" w:rsidRPr="000A272F" w:rsidRDefault="004F6004" w:rsidP="004F6004">
            <w:pP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Pakistan</w:t>
            </w:r>
          </w:p>
        </w:tc>
        <w:tc>
          <w:tcPr>
            <w:tcW w:w="1024"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10</w:t>
            </w:r>
          </w:p>
        </w:tc>
        <w:tc>
          <w:tcPr>
            <w:tcW w:w="1197"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1,097,020</w:t>
            </w:r>
          </w:p>
        </w:tc>
        <w:tc>
          <w:tcPr>
            <w:tcW w:w="1024"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17</w:t>
            </w:r>
          </w:p>
        </w:tc>
        <w:tc>
          <w:tcPr>
            <w:tcW w:w="1197"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2,471,322</w:t>
            </w:r>
          </w:p>
        </w:tc>
        <w:tc>
          <w:tcPr>
            <w:tcW w:w="1024"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8</w:t>
            </w:r>
          </w:p>
        </w:tc>
        <w:tc>
          <w:tcPr>
            <w:tcW w:w="1197"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944,517</w:t>
            </w:r>
          </w:p>
        </w:tc>
      </w:tr>
      <w:tr w:rsidR="00D812C1" w:rsidRPr="000A272F" w:rsidTr="00267C8F">
        <w:trPr>
          <w:trHeight w:val="448"/>
        </w:trPr>
        <w:tc>
          <w:tcPr>
            <w:tcW w:w="1554" w:type="dxa"/>
            <w:tcBorders>
              <w:top w:val="nil"/>
              <w:left w:val="single" w:sz="4" w:space="0" w:color="auto"/>
              <w:bottom w:val="single" w:sz="4" w:space="0" w:color="auto"/>
              <w:right w:val="single" w:sz="4" w:space="0" w:color="auto"/>
            </w:tcBorders>
            <w:shd w:val="clear" w:color="auto" w:fill="auto"/>
            <w:vAlign w:val="center"/>
            <w:hideMark/>
          </w:tcPr>
          <w:p w:rsidR="004F6004" w:rsidRPr="000A272F" w:rsidRDefault="004F6004" w:rsidP="004F6004">
            <w:pP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India</w:t>
            </w:r>
          </w:p>
        </w:tc>
        <w:tc>
          <w:tcPr>
            <w:tcW w:w="1024" w:type="dxa"/>
            <w:tcBorders>
              <w:top w:val="nil"/>
              <w:left w:val="nil"/>
              <w:bottom w:val="single" w:sz="4" w:space="0" w:color="auto"/>
              <w:right w:val="single" w:sz="4" w:space="0" w:color="auto"/>
            </w:tcBorders>
            <w:shd w:val="clear" w:color="auto" w:fill="auto"/>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5</w:t>
            </w:r>
          </w:p>
        </w:tc>
        <w:tc>
          <w:tcPr>
            <w:tcW w:w="1197" w:type="dxa"/>
            <w:tcBorders>
              <w:top w:val="nil"/>
              <w:left w:val="nil"/>
              <w:bottom w:val="single" w:sz="4" w:space="0" w:color="auto"/>
              <w:right w:val="single" w:sz="4" w:space="0" w:color="auto"/>
            </w:tcBorders>
            <w:shd w:val="clear" w:color="auto" w:fill="auto"/>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183,134</w:t>
            </w:r>
          </w:p>
        </w:tc>
        <w:tc>
          <w:tcPr>
            <w:tcW w:w="1024" w:type="dxa"/>
            <w:tcBorders>
              <w:top w:val="nil"/>
              <w:left w:val="nil"/>
              <w:bottom w:val="single" w:sz="4" w:space="0" w:color="auto"/>
              <w:right w:val="single" w:sz="4" w:space="0" w:color="auto"/>
            </w:tcBorders>
            <w:shd w:val="clear" w:color="auto" w:fill="auto"/>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6</w:t>
            </w:r>
          </w:p>
        </w:tc>
        <w:tc>
          <w:tcPr>
            <w:tcW w:w="1197" w:type="dxa"/>
            <w:tcBorders>
              <w:top w:val="nil"/>
              <w:left w:val="nil"/>
              <w:bottom w:val="single" w:sz="4" w:space="0" w:color="auto"/>
              <w:right w:val="single" w:sz="4" w:space="0" w:color="auto"/>
            </w:tcBorders>
            <w:shd w:val="clear" w:color="auto" w:fill="auto"/>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491,328</w:t>
            </w:r>
          </w:p>
        </w:tc>
        <w:tc>
          <w:tcPr>
            <w:tcW w:w="1024" w:type="dxa"/>
            <w:tcBorders>
              <w:top w:val="nil"/>
              <w:left w:val="nil"/>
              <w:bottom w:val="single" w:sz="4" w:space="0" w:color="auto"/>
              <w:right w:val="single" w:sz="4" w:space="0" w:color="auto"/>
            </w:tcBorders>
            <w:shd w:val="clear" w:color="auto" w:fill="auto"/>
            <w:vAlign w:val="center"/>
            <w:hideMark/>
          </w:tcPr>
          <w:p w:rsidR="004F6004" w:rsidRPr="000A272F" w:rsidRDefault="00E71BB4" w:rsidP="004F6004">
            <w:pPr>
              <w:jc w:val="right"/>
              <w:rPr>
                <w:rFonts w:ascii="Calibri" w:eastAsia="Malgun Gothic" w:hAnsi="Calibri" w:cs="Calibri"/>
                <w:color w:val="000000"/>
                <w:sz w:val="24"/>
                <w:szCs w:val="22"/>
              </w:rPr>
            </w:pPr>
            <w:r>
              <w:rPr>
                <w:rFonts w:ascii="Calibri" w:eastAsia="Malgun Gothic" w:hAnsi="Calibri" w:cs="Calibri" w:hint="eastAsia"/>
                <w:color w:val="000000"/>
                <w:sz w:val="24"/>
                <w:szCs w:val="22"/>
              </w:rPr>
              <w:t>8</w:t>
            </w:r>
          </w:p>
        </w:tc>
        <w:tc>
          <w:tcPr>
            <w:tcW w:w="1197" w:type="dxa"/>
            <w:tcBorders>
              <w:top w:val="nil"/>
              <w:left w:val="nil"/>
              <w:bottom w:val="single" w:sz="4" w:space="0" w:color="auto"/>
              <w:right w:val="single" w:sz="4" w:space="0" w:color="auto"/>
            </w:tcBorders>
            <w:shd w:val="clear" w:color="auto" w:fill="auto"/>
            <w:vAlign w:val="center"/>
            <w:hideMark/>
          </w:tcPr>
          <w:p w:rsidR="004F6004" w:rsidRPr="000A272F" w:rsidRDefault="00E71BB4" w:rsidP="004F6004">
            <w:pPr>
              <w:jc w:val="right"/>
              <w:rPr>
                <w:rFonts w:ascii="Calibri" w:eastAsia="Malgun Gothic" w:hAnsi="Calibri" w:cs="Calibri"/>
                <w:color w:val="000000"/>
                <w:sz w:val="24"/>
                <w:szCs w:val="22"/>
              </w:rPr>
            </w:pPr>
            <w:r>
              <w:rPr>
                <w:rFonts w:ascii="Calibri" w:eastAsia="Malgun Gothic" w:hAnsi="Calibri" w:cs="Calibri"/>
                <w:color w:val="000000"/>
                <w:sz w:val="24"/>
                <w:szCs w:val="22"/>
              </w:rPr>
              <w:t>486</w:t>
            </w:r>
            <w:r w:rsidR="004F6004" w:rsidRPr="000A272F">
              <w:rPr>
                <w:rFonts w:ascii="Calibri" w:eastAsia="Malgun Gothic" w:hAnsi="Calibri" w:cs="Calibri"/>
                <w:color w:val="000000"/>
                <w:sz w:val="24"/>
                <w:szCs w:val="22"/>
              </w:rPr>
              <w:t>,</w:t>
            </w:r>
            <w:r>
              <w:rPr>
                <w:rFonts w:ascii="Calibri" w:eastAsia="Malgun Gothic" w:hAnsi="Calibri" w:cs="Calibri"/>
                <w:color w:val="000000"/>
                <w:sz w:val="24"/>
                <w:szCs w:val="22"/>
              </w:rPr>
              <w:t>411</w:t>
            </w:r>
          </w:p>
        </w:tc>
      </w:tr>
      <w:tr w:rsidR="004F6004" w:rsidRPr="000A272F" w:rsidTr="00267C8F">
        <w:trPr>
          <w:trHeight w:val="448"/>
        </w:trPr>
        <w:tc>
          <w:tcPr>
            <w:tcW w:w="1554" w:type="dxa"/>
            <w:tcBorders>
              <w:top w:val="nil"/>
              <w:left w:val="single" w:sz="4" w:space="0" w:color="auto"/>
              <w:bottom w:val="single" w:sz="4" w:space="0" w:color="auto"/>
              <w:right w:val="single" w:sz="4" w:space="0" w:color="auto"/>
            </w:tcBorders>
            <w:shd w:val="clear" w:color="000000" w:fill="D3DFEE"/>
            <w:vAlign w:val="center"/>
            <w:hideMark/>
          </w:tcPr>
          <w:p w:rsidR="004F6004" w:rsidRPr="000A272F" w:rsidRDefault="004F6004" w:rsidP="004F6004">
            <w:pP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China</w:t>
            </w:r>
          </w:p>
        </w:tc>
        <w:tc>
          <w:tcPr>
            <w:tcW w:w="1024"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3</w:t>
            </w:r>
          </w:p>
        </w:tc>
        <w:tc>
          <w:tcPr>
            <w:tcW w:w="1197"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8,152</w:t>
            </w:r>
          </w:p>
        </w:tc>
        <w:tc>
          <w:tcPr>
            <w:tcW w:w="1024"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4</w:t>
            </w:r>
          </w:p>
        </w:tc>
        <w:tc>
          <w:tcPr>
            <w:tcW w:w="1197"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13,189</w:t>
            </w:r>
          </w:p>
        </w:tc>
        <w:tc>
          <w:tcPr>
            <w:tcW w:w="1024"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0</w:t>
            </w:r>
          </w:p>
        </w:tc>
        <w:tc>
          <w:tcPr>
            <w:tcW w:w="1197"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0</w:t>
            </w:r>
          </w:p>
        </w:tc>
      </w:tr>
      <w:tr w:rsidR="00D812C1" w:rsidRPr="000A272F" w:rsidTr="00267C8F">
        <w:trPr>
          <w:trHeight w:val="448"/>
        </w:trPr>
        <w:tc>
          <w:tcPr>
            <w:tcW w:w="1554" w:type="dxa"/>
            <w:tcBorders>
              <w:top w:val="nil"/>
              <w:left w:val="single" w:sz="4" w:space="0" w:color="auto"/>
              <w:bottom w:val="single" w:sz="4" w:space="0" w:color="auto"/>
              <w:right w:val="single" w:sz="4" w:space="0" w:color="auto"/>
            </w:tcBorders>
            <w:shd w:val="clear" w:color="auto" w:fill="auto"/>
            <w:vAlign w:val="center"/>
            <w:hideMark/>
          </w:tcPr>
          <w:p w:rsidR="004F6004" w:rsidRPr="000A272F" w:rsidRDefault="004F6004" w:rsidP="004F6004">
            <w:pP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Turkey</w:t>
            </w:r>
          </w:p>
        </w:tc>
        <w:tc>
          <w:tcPr>
            <w:tcW w:w="1024" w:type="dxa"/>
            <w:tcBorders>
              <w:top w:val="nil"/>
              <w:left w:val="nil"/>
              <w:bottom w:val="single" w:sz="4" w:space="0" w:color="auto"/>
              <w:right w:val="single" w:sz="4" w:space="0" w:color="auto"/>
            </w:tcBorders>
            <w:shd w:val="clear" w:color="auto" w:fill="auto"/>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1</w:t>
            </w:r>
          </w:p>
        </w:tc>
        <w:tc>
          <w:tcPr>
            <w:tcW w:w="1197" w:type="dxa"/>
            <w:tcBorders>
              <w:top w:val="nil"/>
              <w:left w:val="nil"/>
              <w:bottom w:val="single" w:sz="4" w:space="0" w:color="auto"/>
              <w:right w:val="single" w:sz="4" w:space="0" w:color="auto"/>
            </w:tcBorders>
            <w:shd w:val="clear" w:color="auto" w:fill="auto"/>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10,454</w:t>
            </w:r>
          </w:p>
        </w:tc>
        <w:tc>
          <w:tcPr>
            <w:tcW w:w="1024" w:type="dxa"/>
            <w:tcBorders>
              <w:top w:val="nil"/>
              <w:left w:val="nil"/>
              <w:bottom w:val="single" w:sz="4" w:space="0" w:color="auto"/>
              <w:right w:val="single" w:sz="4" w:space="0" w:color="auto"/>
            </w:tcBorders>
            <w:shd w:val="clear" w:color="auto" w:fill="auto"/>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1</w:t>
            </w:r>
          </w:p>
        </w:tc>
        <w:tc>
          <w:tcPr>
            <w:tcW w:w="1197" w:type="dxa"/>
            <w:tcBorders>
              <w:top w:val="nil"/>
              <w:left w:val="nil"/>
              <w:bottom w:val="single" w:sz="4" w:space="0" w:color="auto"/>
              <w:right w:val="single" w:sz="4" w:space="0" w:color="auto"/>
            </w:tcBorders>
            <w:shd w:val="clear" w:color="auto" w:fill="auto"/>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1,478</w:t>
            </w:r>
          </w:p>
        </w:tc>
        <w:tc>
          <w:tcPr>
            <w:tcW w:w="1024" w:type="dxa"/>
            <w:tcBorders>
              <w:top w:val="nil"/>
              <w:left w:val="nil"/>
              <w:bottom w:val="single" w:sz="4" w:space="0" w:color="auto"/>
              <w:right w:val="single" w:sz="4" w:space="0" w:color="auto"/>
            </w:tcBorders>
            <w:shd w:val="clear" w:color="auto" w:fill="auto"/>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0</w:t>
            </w:r>
          </w:p>
        </w:tc>
        <w:tc>
          <w:tcPr>
            <w:tcW w:w="1197" w:type="dxa"/>
            <w:tcBorders>
              <w:top w:val="nil"/>
              <w:left w:val="nil"/>
              <w:bottom w:val="single" w:sz="4" w:space="0" w:color="auto"/>
              <w:right w:val="single" w:sz="4" w:space="0" w:color="auto"/>
            </w:tcBorders>
            <w:shd w:val="clear" w:color="auto" w:fill="auto"/>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0</w:t>
            </w:r>
          </w:p>
        </w:tc>
      </w:tr>
      <w:tr w:rsidR="004F6004" w:rsidRPr="000A272F" w:rsidTr="00267C8F">
        <w:trPr>
          <w:trHeight w:val="448"/>
        </w:trPr>
        <w:tc>
          <w:tcPr>
            <w:tcW w:w="1554" w:type="dxa"/>
            <w:tcBorders>
              <w:top w:val="nil"/>
              <w:left w:val="single" w:sz="4" w:space="0" w:color="auto"/>
              <w:bottom w:val="single" w:sz="4" w:space="0" w:color="auto"/>
              <w:right w:val="single" w:sz="4" w:space="0" w:color="auto"/>
            </w:tcBorders>
            <w:shd w:val="clear" w:color="000000" w:fill="D3DFEE"/>
            <w:vAlign w:val="center"/>
            <w:hideMark/>
          </w:tcPr>
          <w:p w:rsidR="004F6004" w:rsidRPr="000A272F" w:rsidRDefault="004F6004" w:rsidP="004F6004">
            <w:pP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Others</w:t>
            </w:r>
          </w:p>
        </w:tc>
        <w:tc>
          <w:tcPr>
            <w:tcW w:w="1024"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1</w:t>
            </w:r>
          </w:p>
        </w:tc>
        <w:tc>
          <w:tcPr>
            <w:tcW w:w="1197"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13,568</w:t>
            </w:r>
          </w:p>
        </w:tc>
        <w:tc>
          <w:tcPr>
            <w:tcW w:w="1024"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1</w:t>
            </w:r>
          </w:p>
        </w:tc>
        <w:tc>
          <w:tcPr>
            <w:tcW w:w="1197"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1,242</w:t>
            </w:r>
          </w:p>
        </w:tc>
        <w:tc>
          <w:tcPr>
            <w:tcW w:w="1024"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1</w:t>
            </w:r>
          </w:p>
        </w:tc>
        <w:tc>
          <w:tcPr>
            <w:tcW w:w="1197" w:type="dxa"/>
            <w:tcBorders>
              <w:top w:val="nil"/>
              <w:left w:val="nil"/>
              <w:bottom w:val="single" w:sz="4" w:space="0" w:color="auto"/>
              <w:right w:val="single" w:sz="4" w:space="0" w:color="auto"/>
            </w:tcBorders>
            <w:shd w:val="clear" w:color="000000" w:fill="D3DFEE"/>
            <w:vAlign w:val="center"/>
            <w:hideMark/>
          </w:tcPr>
          <w:p w:rsidR="004F6004" w:rsidRPr="000A272F" w:rsidRDefault="004F6004" w:rsidP="004F6004">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2,876</w:t>
            </w:r>
          </w:p>
        </w:tc>
      </w:tr>
      <w:tr w:rsidR="00D812C1" w:rsidRPr="000A272F" w:rsidTr="00267C8F">
        <w:trPr>
          <w:trHeight w:val="448"/>
        </w:trPr>
        <w:tc>
          <w:tcPr>
            <w:tcW w:w="1554" w:type="dxa"/>
            <w:tcBorders>
              <w:top w:val="nil"/>
              <w:left w:val="single" w:sz="4" w:space="0" w:color="auto"/>
              <w:bottom w:val="single" w:sz="4" w:space="0" w:color="auto"/>
              <w:right w:val="single" w:sz="4" w:space="0" w:color="auto"/>
            </w:tcBorders>
            <w:shd w:val="clear" w:color="auto" w:fill="auto"/>
            <w:vAlign w:val="center"/>
            <w:hideMark/>
          </w:tcPr>
          <w:p w:rsidR="004F6004" w:rsidRPr="000A272F" w:rsidRDefault="004F6004" w:rsidP="004F6004">
            <w:pP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Total</w:t>
            </w:r>
          </w:p>
        </w:tc>
        <w:tc>
          <w:tcPr>
            <w:tcW w:w="1024" w:type="dxa"/>
            <w:tcBorders>
              <w:top w:val="nil"/>
              <w:left w:val="nil"/>
              <w:bottom w:val="single" w:sz="4" w:space="0" w:color="auto"/>
              <w:right w:val="single" w:sz="4" w:space="0" w:color="auto"/>
            </w:tcBorders>
            <w:shd w:val="clear" w:color="auto" w:fill="auto"/>
            <w:vAlign w:val="center"/>
            <w:hideMark/>
          </w:tcPr>
          <w:p w:rsidR="004F6004" w:rsidRPr="000A272F" w:rsidRDefault="004F6004" w:rsidP="004F6004">
            <w:pPr>
              <w:jc w:val="right"/>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45</w:t>
            </w:r>
          </w:p>
        </w:tc>
        <w:tc>
          <w:tcPr>
            <w:tcW w:w="1197" w:type="dxa"/>
            <w:tcBorders>
              <w:top w:val="nil"/>
              <w:left w:val="nil"/>
              <w:bottom w:val="single" w:sz="4" w:space="0" w:color="auto"/>
              <w:right w:val="single" w:sz="4" w:space="0" w:color="auto"/>
            </w:tcBorders>
            <w:shd w:val="clear" w:color="auto" w:fill="auto"/>
            <w:vAlign w:val="center"/>
            <w:hideMark/>
          </w:tcPr>
          <w:p w:rsidR="004F6004" w:rsidRPr="000A272F" w:rsidRDefault="004F6004" w:rsidP="004F6004">
            <w:pPr>
              <w:jc w:val="right"/>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3,568,062</w:t>
            </w:r>
          </w:p>
        </w:tc>
        <w:tc>
          <w:tcPr>
            <w:tcW w:w="1024" w:type="dxa"/>
            <w:tcBorders>
              <w:top w:val="nil"/>
              <w:left w:val="nil"/>
              <w:bottom w:val="single" w:sz="4" w:space="0" w:color="auto"/>
              <w:right w:val="single" w:sz="4" w:space="0" w:color="auto"/>
            </w:tcBorders>
            <w:shd w:val="clear" w:color="auto" w:fill="auto"/>
            <w:vAlign w:val="center"/>
            <w:hideMark/>
          </w:tcPr>
          <w:p w:rsidR="004F6004" w:rsidRPr="000A272F" w:rsidRDefault="004F6004" w:rsidP="004F6004">
            <w:pPr>
              <w:jc w:val="right"/>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42</w:t>
            </w:r>
          </w:p>
        </w:tc>
        <w:tc>
          <w:tcPr>
            <w:tcW w:w="1197" w:type="dxa"/>
            <w:tcBorders>
              <w:top w:val="nil"/>
              <w:left w:val="nil"/>
              <w:bottom w:val="single" w:sz="4" w:space="0" w:color="auto"/>
              <w:right w:val="single" w:sz="4" w:space="0" w:color="auto"/>
            </w:tcBorders>
            <w:shd w:val="clear" w:color="auto" w:fill="auto"/>
            <w:vAlign w:val="center"/>
            <w:hideMark/>
          </w:tcPr>
          <w:p w:rsidR="004F6004" w:rsidRPr="000A272F" w:rsidRDefault="004F6004" w:rsidP="004F6004">
            <w:pPr>
              <w:jc w:val="right"/>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3,572,159</w:t>
            </w:r>
          </w:p>
        </w:tc>
        <w:tc>
          <w:tcPr>
            <w:tcW w:w="1024" w:type="dxa"/>
            <w:tcBorders>
              <w:top w:val="nil"/>
              <w:left w:val="nil"/>
              <w:bottom w:val="single" w:sz="4" w:space="0" w:color="auto"/>
              <w:right w:val="single" w:sz="4" w:space="0" w:color="auto"/>
            </w:tcBorders>
            <w:shd w:val="clear" w:color="auto" w:fill="auto"/>
            <w:vAlign w:val="center"/>
            <w:hideMark/>
          </w:tcPr>
          <w:p w:rsidR="004F6004" w:rsidRPr="000A272F" w:rsidRDefault="00E71BB4" w:rsidP="004F6004">
            <w:pPr>
              <w:jc w:val="right"/>
              <w:rPr>
                <w:rFonts w:ascii="Calibri" w:eastAsia="Malgun Gothic" w:hAnsi="Calibri" w:cs="Calibri"/>
                <w:b/>
                <w:bCs/>
                <w:color w:val="000000"/>
                <w:sz w:val="24"/>
                <w:szCs w:val="22"/>
              </w:rPr>
            </w:pPr>
            <w:r>
              <w:rPr>
                <w:rFonts w:ascii="Calibri" w:eastAsia="Malgun Gothic" w:hAnsi="Calibri" w:cs="Calibri" w:hint="eastAsia"/>
                <w:b/>
                <w:bCs/>
                <w:color w:val="000000"/>
                <w:sz w:val="24"/>
                <w:szCs w:val="22"/>
              </w:rPr>
              <w:t>3</w:t>
            </w:r>
            <w:r>
              <w:rPr>
                <w:rFonts w:ascii="Calibri" w:eastAsia="Malgun Gothic" w:hAnsi="Calibri" w:cs="Calibri"/>
                <w:b/>
                <w:bCs/>
                <w:color w:val="000000"/>
                <w:sz w:val="24"/>
                <w:szCs w:val="22"/>
              </w:rPr>
              <w:t>2</w:t>
            </w:r>
          </w:p>
        </w:tc>
        <w:tc>
          <w:tcPr>
            <w:tcW w:w="1197" w:type="dxa"/>
            <w:tcBorders>
              <w:top w:val="nil"/>
              <w:left w:val="nil"/>
              <w:bottom w:val="single" w:sz="4" w:space="0" w:color="auto"/>
              <w:right w:val="single" w:sz="4" w:space="0" w:color="auto"/>
            </w:tcBorders>
            <w:shd w:val="clear" w:color="auto" w:fill="auto"/>
            <w:vAlign w:val="center"/>
            <w:hideMark/>
          </w:tcPr>
          <w:p w:rsidR="004F6004" w:rsidRPr="000A272F" w:rsidRDefault="00E71BB4" w:rsidP="004F6004">
            <w:pPr>
              <w:jc w:val="right"/>
              <w:rPr>
                <w:rFonts w:ascii="Calibri" w:eastAsia="Malgun Gothic" w:hAnsi="Calibri" w:cs="Calibri"/>
                <w:b/>
                <w:bCs/>
                <w:color w:val="000000"/>
                <w:sz w:val="24"/>
                <w:szCs w:val="22"/>
              </w:rPr>
            </w:pPr>
            <w:r>
              <w:rPr>
                <w:rFonts w:ascii="Calibri" w:eastAsia="Malgun Gothic" w:hAnsi="Calibri" w:cs="Calibri"/>
                <w:b/>
                <w:bCs/>
                <w:color w:val="000000"/>
                <w:sz w:val="24"/>
                <w:szCs w:val="22"/>
              </w:rPr>
              <w:t>3</w:t>
            </w:r>
            <w:r w:rsidR="004F6004" w:rsidRPr="000A272F">
              <w:rPr>
                <w:rFonts w:ascii="Calibri" w:eastAsia="Malgun Gothic" w:hAnsi="Calibri" w:cs="Calibri"/>
                <w:b/>
                <w:bCs/>
                <w:color w:val="000000"/>
                <w:sz w:val="24"/>
                <w:szCs w:val="22"/>
              </w:rPr>
              <w:t>,</w:t>
            </w:r>
            <w:r>
              <w:rPr>
                <w:rFonts w:ascii="Calibri" w:eastAsia="Malgun Gothic" w:hAnsi="Calibri" w:cs="Calibri"/>
                <w:b/>
                <w:bCs/>
                <w:color w:val="000000"/>
                <w:sz w:val="24"/>
                <w:szCs w:val="22"/>
              </w:rPr>
              <w:t>165</w:t>
            </w:r>
            <w:r w:rsidR="004F6004" w:rsidRPr="000A272F">
              <w:rPr>
                <w:rFonts w:ascii="Calibri" w:eastAsia="Malgun Gothic" w:hAnsi="Calibri" w:cs="Calibri"/>
                <w:b/>
                <w:bCs/>
                <w:color w:val="000000"/>
                <w:sz w:val="24"/>
                <w:szCs w:val="22"/>
              </w:rPr>
              <w:t>,</w:t>
            </w:r>
            <w:r>
              <w:rPr>
                <w:rFonts w:ascii="Calibri" w:eastAsia="Malgun Gothic" w:hAnsi="Calibri" w:cs="Calibri"/>
                <w:b/>
                <w:bCs/>
                <w:color w:val="000000"/>
                <w:sz w:val="24"/>
                <w:szCs w:val="22"/>
              </w:rPr>
              <w:t>633</w:t>
            </w:r>
          </w:p>
        </w:tc>
      </w:tr>
    </w:tbl>
    <w:p w:rsidR="0076271A" w:rsidRPr="000A272F" w:rsidRDefault="00264930" w:rsidP="0046109E">
      <w:pPr>
        <w:spacing w:line="276" w:lineRule="auto"/>
        <w:rPr>
          <w:rFonts w:ascii="Calibri" w:eastAsiaTheme="minorEastAsia" w:hAnsi="Calibri" w:cs="Calibri"/>
          <w:sz w:val="22"/>
          <w:szCs w:val="22"/>
        </w:rPr>
      </w:pPr>
      <w:r w:rsidRPr="000A272F">
        <w:rPr>
          <w:rFonts w:ascii="Calibri" w:eastAsiaTheme="minorEastAsia" w:hAnsi="Calibri" w:cs="Calibri"/>
          <w:sz w:val="28"/>
          <w:szCs w:val="24"/>
        </w:rPr>
        <w:t xml:space="preserve">                                           </w:t>
      </w:r>
      <w:r w:rsidRPr="000A272F">
        <w:rPr>
          <w:rFonts w:ascii="Calibri" w:eastAsiaTheme="minorEastAsia" w:hAnsi="Calibri" w:cs="Calibri"/>
          <w:sz w:val="22"/>
          <w:szCs w:val="22"/>
        </w:rPr>
        <w:t>Source: Clarksons Database</w:t>
      </w:r>
    </w:p>
    <w:p w:rsidR="0078496F" w:rsidRDefault="0078496F" w:rsidP="00445C83">
      <w:pPr>
        <w:spacing w:line="276" w:lineRule="auto"/>
        <w:ind w:firstLineChars="450" w:firstLine="1260"/>
        <w:rPr>
          <w:rFonts w:ascii="Calibri" w:eastAsiaTheme="minorEastAsia" w:hAnsi="Calibri" w:cs="Calibri"/>
          <w:b/>
          <w:sz w:val="28"/>
          <w:szCs w:val="24"/>
        </w:rPr>
      </w:pPr>
    </w:p>
    <w:p w:rsidR="00F6276C" w:rsidRDefault="00F6276C" w:rsidP="00445C83">
      <w:pPr>
        <w:spacing w:line="276" w:lineRule="auto"/>
        <w:ind w:firstLineChars="450" w:firstLine="1260"/>
        <w:rPr>
          <w:rFonts w:ascii="Calibri" w:eastAsiaTheme="minorEastAsia" w:hAnsi="Calibri" w:cs="Calibri"/>
          <w:b/>
          <w:sz w:val="28"/>
          <w:szCs w:val="24"/>
        </w:rPr>
      </w:pPr>
    </w:p>
    <w:p w:rsidR="00F6276C" w:rsidRDefault="00F6276C" w:rsidP="00445C83">
      <w:pPr>
        <w:spacing w:line="276" w:lineRule="auto"/>
        <w:ind w:firstLineChars="450" w:firstLine="1260"/>
        <w:rPr>
          <w:rFonts w:ascii="Calibri" w:eastAsiaTheme="minorEastAsia" w:hAnsi="Calibri" w:cs="Calibri"/>
          <w:b/>
          <w:sz w:val="28"/>
          <w:szCs w:val="24"/>
        </w:rPr>
      </w:pPr>
    </w:p>
    <w:p w:rsidR="00F6276C" w:rsidRDefault="00F6276C" w:rsidP="00445C83">
      <w:pPr>
        <w:spacing w:line="276" w:lineRule="auto"/>
        <w:ind w:firstLineChars="450" w:firstLine="1260"/>
        <w:rPr>
          <w:rFonts w:ascii="Calibri" w:eastAsiaTheme="minorEastAsia" w:hAnsi="Calibri" w:cs="Calibri"/>
          <w:b/>
          <w:sz w:val="28"/>
          <w:szCs w:val="24"/>
        </w:rPr>
      </w:pPr>
    </w:p>
    <w:p w:rsidR="00866E65" w:rsidRPr="000A272F" w:rsidRDefault="00866E65" w:rsidP="00445C83">
      <w:pPr>
        <w:spacing w:line="276" w:lineRule="auto"/>
        <w:ind w:firstLineChars="450" w:firstLine="1260"/>
        <w:rPr>
          <w:rFonts w:ascii="Calibri" w:eastAsiaTheme="minorEastAsia" w:hAnsi="Calibri" w:cs="Calibri"/>
          <w:b/>
          <w:sz w:val="28"/>
          <w:szCs w:val="24"/>
        </w:rPr>
      </w:pPr>
      <w:r w:rsidRPr="000A272F">
        <w:rPr>
          <w:rFonts w:ascii="Calibri" w:eastAsiaTheme="minorEastAsia" w:hAnsi="Calibri" w:cs="Calibri"/>
          <w:b/>
          <w:sz w:val="28"/>
          <w:szCs w:val="24"/>
        </w:rPr>
        <w:lastRenderedPageBreak/>
        <w:t xml:space="preserve">&lt; </w:t>
      </w:r>
      <w:r w:rsidR="00ED7D85" w:rsidRPr="000A272F">
        <w:rPr>
          <w:rFonts w:ascii="Calibri" w:eastAsiaTheme="minorEastAsia" w:hAnsi="Calibri" w:cs="Calibri"/>
          <w:b/>
          <w:sz w:val="28"/>
          <w:szCs w:val="24"/>
        </w:rPr>
        <w:t xml:space="preserve">Demolition </w:t>
      </w:r>
      <w:r w:rsidR="003F77AA" w:rsidRPr="000A272F">
        <w:rPr>
          <w:rFonts w:ascii="Calibri" w:eastAsiaTheme="minorEastAsia" w:hAnsi="Calibri" w:cs="Calibri"/>
          <w:b/>
          <w:sz w:val="28"/>
          <w:szCs w:val="24"/>
        </w:rPr>
        <w:t>Volume</w:t>
      </w:r>
      <w:r w:rsidR="00445C83">
        <w:rPr>
          <w:rFonts w:ascii="Calibri" w:eastAsiaTheme="minorEastAsia" w:hAnsi="Calibri" w:cs="Calibri"/>
          <w:b/>
          <w:sz w:val="28"/>
          <w:szCs w:val="24"/>
        </w:rPr>
        <w:t xml:space="preserve"> of Korean vessels</w:t>
      </w:r>
      <w:r w:rsidR="003F77AA" w:rsidRPr="000A272F">
        <w:rPr>
          <w:rFonts w:ascii="Calibri" w:eastAsiaTheme="minorEastAsia" w:hAnsi="Calibri" w:cs="Calibri"/>
          <w:b/>
          <w:sz w:val="28"/>
          <w:szCs w:val="24"/>
        </w:rPr>
        <w:t xml:space="preserve"> by </w:t>
      </w:r>
      <w:r w:rsidRPr="000A272F">
        <w:rPr>
          <w:rFonts w:ascii="Calibri" w:eastAsiaTheme="minorEastAsia" w:hAnsi="Calibri" w:cs="Calibri"/>
          <w:b/>
          <w:sz w:val="28"/>
          <w:szCs w:val="24"/>
        </w:rPr>
        <w:t>Ship Type</w:t>
      </w:r>
      <w:r w:rsidR="00264930" w:rsidRPr="000A272F">
        <w:rPr>
          <w:rFonts w:ascii="Calibri" w:eastAsiaTheme="minorEastAsia" w:hAnsi="Calibri" w:cs="Calibri"/>
          <w:b/>
          <w:sz w:val="28"/>
          <w:szCs w:val="24"/>
        </w:rPr>
        <w:t>s</w:t>
      </w:r>
      <w:r w:rsidRPr="000A272F">
        <w:rPr>
          <w:rFonts w:ascii="Calibri" w:hAnsi="Calibri" w:cs="Calibri"/>
          <w:b/>
          <w:sz w:val="28"/>
          <w:szCs w:val="24"/>
        </w:rPr>
        <w:t xml:space="preserve"> &gt;</w:t>
      </w:r>
    </w:p>
    <w:tbl>
      <w:tblPr>
        <w:tblpPr w:leftFromText="142" w:rightFromText="142" w:vertAnchor="text" w:horzAnchor="margin" w:tblpY="90"/>
        <w:tblW w:w="9086" w:type="dxa"/>
        <w:tblCellMar>
          <w:left w:w="99" w:type="dxa"/>
          <w:right w:w="99" w:type="dxa"/>
        </w:tblCellMar>
        <w:tblLook w:val="04A0" w:firstRow="1" w:lastRow="0" w:firstColumn="1" w:lastColumn="0" w:noHBand="0" w:noVBand="1"/>
      </w:tblPr>
      <w:tblGrid>
        <w:gridCol w:w="1239"/>
        <w:gridCol w:w="644"/>
        <w:gridCol w:w="1971"/>
        <w:gridCol w:w="645"/>
        <w:gridCol w:w="1971"/>
        <w:gridCol w:w="645"/>
        <w:gridCol w:w="1971"/>
      </w:tblGrid>
      <w:tr w:rsidR="00D812C1" w:rsidRPr="000A272F" w:rsidTr="00261CCC">
        <w:trPr>
          <w:trHeight w:val="276"/>
        </w:trPr>
        <w:tc>
          <w:tcPr>
            <w:tcW w:w="12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12C1" w:rsidRPr="000A272F" w:rsidRDefault="00D812C1" w:rsidP="00D812C1">
            <w:pP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 xml:space="preserve">　</w:t>
            </w:r>
          </w:p>
        </w:tc>
        <w:tc>
          <w:tcPr>
            <w:tcW w:w="2615" w:type="dxa"/>
            <w:gridSpan w:val="2"/>
            <w:tcBorders>
              <w:top w:val="single" w:sz="4" w:space="0" w:color="auto"/>
              <w:left w:val="nil"/>
              <w:bottom w:val="single" w:sz="4" w:space="0" w:color="auto"/>
              <w:right w:val="single" w:sz="4" w:space="0" w:color="auto"/>
            </w:tcBorders>
            <w:shd w:val="clear" w:color="auto" w:fill="auto"/>
            <w:vAlign w:val="center"/>
            <w:hideMark/>
          </w:tcPr>
          <w:p w:rsidR="00D812C1" w:rsidRPr="000A272F" w:rsidRDefault="00D812C1" w:rsidP="00D812C1">
            <w:pPr>
              <w:jc w:val="cente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2016</w:t>
            </w:r>
          </w:p>
        </w:tc>
        <w:tc>
          <w:tcPr>
            <w:tcW w:w="2616" w:type="dxa"/>
            <w:gridSpan w:val="2"/>
            <w:tcBorders>
              <w:top w:val="single" w:sz="4" w:space="0" w:color="auto"/>
              <w:left w:val="nil"/>
              <w:bottom w:val="single" w:sz="4" w:space="0" w:color="auto"/>
              <w:right w:val="single" w:sz="4" w:space="0" w:color="auto"/>
            </w:tcBorders>
            <w:shd w:val="clear" w:color="auto" w:fill="auto"/>
            <w:vAlign w:val="center"/>
            <w:hideMark/>
          </w:tcPr>
          <w:p w:rsidR="00D812C1" w:rsidRPr="000A272F" w:rsidRDefault="00D812C1" w:rsidP="00D812C1">
            <w:pPr>
              <w:jc w:val="cente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2017</w:t>
            </w:r>
          </w:p>
        </w:tc>
        <w:tc>
          <w:tcPr>
            <w:tcW w:w="2616" w:type="dxa"/>
            <w:gridSpan w:val="2"/>
            <w:tcBorders>
              <w:top w:val="single" w:sz="4" w:space="0" w:color="auto"/>
              <w:left w:val="nil"/>
              <w:bottom w:val="single" w:sz="4" w:space="0" w:color="auto"/>
              <w:right w:val="single" w:sz="4" w:space="0" w:color="auto"/>
            </w:tcBorders>
            <w:shd w:val="clear" w:color="auto" w:fill="auto"/>
            <w:vAlign w:val="center"/>
            <w:hideMark/>
          </w:tcPr>
          <w:p w:rsidR="00D812C1" w:rsidRPr="000A272F" w:rsidRDefault="00D812C1" w:rsidP="00D812C1">
            <w:pPr>
              <w:jc w:val="cente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2018</w:t>
            </w:r>
          </w:p>
        </w:tc>
      </w:tr>
      <w:tr w:rsidR="00261CCC" w:rsidRPr="000A272F" w:rsidTr="00261CCC">
        <w:trPr>
          <w:trHeight w:val="276"/>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D812C1" w:rsidRPr="000A272F" w:rsidRDefault="00D812C1" w:rsidP="00D812C1">
            <w:pPr>
              <w:jc w:val="left"/>
              <w:rPr>
                <w:rFonts w:ascii="Calibri" w:eastAsia="Malgun Gothic" w:hAnsi="Calibri" w:cs="Calibri"/>
                <w:b/>
                <w:bCs/>
                <w:color w:val="000000"/>
                <w:sz w:val="24"/>
                <w:szCs w:val="22"/>
              </w:rPr>
            </w:pPr>
          </w:p>
        </w:tc>
        <w:tc>
          <w:tcPr>
            <w:tcW w:w="644" w:type="dxa"/>
            <w:tcBorders>
              <w:top w:val="nil"/>
              <w:left w:val="nil"/>
              <w:bottom w:val="single" w:sz="4" w:space="0" w:color="auto"/>
              <w:right w:val="single" w:sz="4" w:space="0" w:color="auto"/>
            </w:tcBorders>
            <w:shd w:val="clear" w:color="000000" w:fill="D3DFEE"/>
            <w:vAlign w:val="center"/>
            <w:hideMark/>
          </w:tcPr>
          <w:p w:rsidR="00D812C1" w:rsidRPr="000A272F" w:rsidRDefault="00D812C1" w:rsidP="00D812C1">
            <w:pPr>
              <w:jc w:val="cente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No</w:t>
            </w:r>
            <w:r w:rsidR="00261CCC" w:rsidRPr="000A272F">
              <w:rPr>
                <w:rFonts w:ascii="Calibri" w:eastAsia="Malgun Gothic" w:hAnsi="Calibri" w:cs="Calibri"/>
                <w:b/>
                <w:bCs/>
                <w:color w:val="000000"/>
                <w:sz w:val="24"/>
                <w:szCs w:val="22"/>
              </w:rPr>
              <w:t>.</w:t>
            </w:r>
          </w:p>
        </w:tc>
        <w:tc>
          <w:tcPr>
            <w:tcW w:w="1970" w:type="dxa"/>
            <w:tcBorders>
              <w:top w:val="nil"/>
              <w:left w:val="nil"/>
              <w:bottom w:val="single" w:sz="4" w:space="0" w:color="auto"/>
              <w:right w:val="single" w:sz="4" w:space="0" w:color="auto"/>
            </w:tcBorders>
            <w:shd w:val="clear" w:color="000000" w:fill="D3DFEE"/>
            <w:vAlign w:val="center"/>
            <w:hideMark/>
          </w:tcPr>
          <w:p w:rsidR="00D812C1" w:rsidRPr="000A272F" w:rsidRDefault="00D812C1" w:rsidP="00D812C1">
            <w:pPr>
              <w:jc w:val="cente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DWT (%)</w:t>
            </w:r>
          </w:p>
        </w:tc>
        <w:tc>
          <w:tcPr>
            <w:tcW w:w="645" w:type="dxa"/>
            <w:tcBorders>
              <w:top w:val="nil"/>
              <w:left w:val="nil"/>
              <w:bottom w:val="single" w:sz="4" w:space="0" w:color="auto"/>
              <w:right w:val="single" w:sz="4" w:space="0" w:color="auto"/>
            </w:tcBorders>
            <w:shd w:val="clear" w:color="000000" w:fill="D3DFEE"/>
            <w:vAlign w:val="center"/>
            <w:hideMark/>
          </w:tcPr>
          <w:p w:rsidR="00D812C1" w:rsidRPr="000A272F" w:rsidRDefault="00D812C1" w:rsidP="00D812C1">
            <w:pPr>
              <w:jc w:val="cente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No</w:t>
            </w:r>
            <w:r w:rsidR="00261CCC" w:rsidRPr="000A272F">
              <w:rPr>
                <w:rFonts w:ascii="Calibri" w:eastAsia="Malgun Gothic" w:hAnsi="Calibri" w:cs="Calibri"/>
                <w:b/>
                <w:bCs/>
                <w:color w:val="000000"/>
                <w:sz w:val="24"/>
                <w:szCs w:val="22"/>
              </w:rPr>
              <w:t>.</w:t>
            </w:r>
          </w:p>
        </w:tc>
        <w:tc>
          <w:tcPr>
            <w:tcW w:w="1970" w:type="dxa"/>
            <w:tcBorders>
              <w:top w:val="nil"/>
              <w:left w:val="nil"/>
              <w:bottom w:val="single" w:sz="4" w:space="0" w:color="auto"/>
              <w:right w:val="single" w:sz="4" w:space="0" w:color="auto"/>
            </w:tcBorders>
            <w:shd w:val="clear" w:color="000000" w:fill="D3DFEE"/>
            <w:vAlign w:val="center"/>
            <w:hideMark/>
          </w:tcPr>
          <w:p w:rsidR="00D812C1" w:rsidRPr="000A272F" w:rsidRDefault="00D812C1" w:rsidP="00D812C1">
            <w:pPr>
              <w:jc w:val="cente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DWT</w:t>
            </w:r>
          </w:p>
        </w:tc>
        <w:tc>
          <w:tcPr>
            <w:tcW w:w="645" w:type="dxa"/>
            <w:tcBorders>
              <w:top w:val="nil"/>
              <w:left w:val="nil"/>
              <w:bottom w:val="single" w:sz="4" w:space="0" w:color="auto"/>
              <w:right w:val="single" w:sz="4" w:space="0" w:color="auto"/>
            </w:tcBorders>
            <w:shd w:val="clear" w:color="000000" w:fill="D3DFEE"/>
            <w:vAlign w:val="center"/>
            <w:hideMark/>
          </w:tcPr>
          <w:p w:rsidR="00D812C1" w:rsidRPr="000A272F" w:rsidRDefault="00D812C1" w:rsidP="00D812C1">
            <w:pPr>
              <w:jc w:val="cente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No</w:t>
            </w:r>
            <w:r w:rsidR="00261CCC" w:rsidRPr="000A272F">
              <w:rPr>
                <w:rFonts w:ascii="Calibri" w:eastAsia="Malgun Gothic" w:hAnsi="Calibri" w:cs="Calibri"/>
                <w:b/>
                <w:bCs/>
                <w:color w:val="000000"/>
                <w:sz w:val="24"/>
                <w:szCs w:val="22"/>
              </w:rPr>
              <w:t>.</w:t>
            </w:r>
          </w:p>
        </w:tc>
        <w:tc>
          <w:tcPr>
            <w:tcW w:w="1970" w:type="dxa"/>
            <w:tcBorders>
              <w:top w:val="nil"/>
              <w:left w:val="nil"/>
              <w:bottom w:val="single" w:sz="4" w:space="0" w:color="auto"/>
              <w:right w:val="single" w:sz="4" w:space="0" w:color="auto"/>
            </w:tcBorders>
            <w:shd w:val="clear" w:color="000000" w:fill="D3DFEE"/>
            <w:vAlign w:val="center"/>
            <w:hideMark/>
          </w:tcPr>
          <w:p w:rsidR="00D812C1" w:rsidRPr="000A272F" w:rsidRDefault="00D812C1" w:rsidP="00D812C1">
            <w:pPr>
              <w:jc w:val="cente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DWT</w:t>
            </w:r>
          </w:p>
        </w:tc>
      </w:tr>
      <w:tr w:rsidR="00261CCC" w:rsidRPr="000A272F" w:rsidTr="00261CCC">
        <w:trPr>
          <w:trHeight w:val="276"/>
        </w:trPr>
        <w:tc>
          <w:tcPr>
            <w:tcW w:w="1239" w:type="dxa"/>
            <w:tcBorders>
              <w:top w:val="nil"/>
              <w:left w:val="single" w:sz="4" w:space="0" w:color="auto"/>
              <w:bottom w:val="single" w:sz="4" w:space="0" w:color="auto"/>
              <w:right w:val="single" w:sz="4" w:space="0" w:color="auto"/>
            </w:tcBorders>
            <w:shd w:val="clear" w:color="auto" w:fill="auto"/>
            <w:vAlign w:val="center"/>
            <w:hideMark/>
          </w:tcPr>
          <w:p w:rsidR="00D812C1" w:rsidRPr="000A272F" w:rsidRDefault="00D812C1" w:rsidP="00D812C1">
            <w:pP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Bulker</w:t>
            </w:r>
          </w:p>
        </w:tc>
        <w:tc>
          <w:tcPr>
            <w:tcW w:w="644" w:type="dxa"/>
            <w:tcBorders>
              <w:top w:val="nil"/>
              <w:left w:val="nil"/>
              <w:bottom w:val="single" w:sz="4" w:space="0" w:color="auto"/>
              <w:right w:val="single" w:sz="4" w:space="0" w:color="auto"/>
            </w:tcBorders>
            <w:shd w:val="clear" w:color="auto" w:fill="auto"/>
            <w:vAlign w:val="center"/>
            <w:hideMark/>
          </w:tcPr>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36</w:t>
            </w:r>
          </w:p>
        </w:tc>
        <w:tc>
          <w:tcPr>
            <w:tcW w:w="1970" w:type="dxa"/>
            <w:tcBorders>
              <w:top w:val="nil"/>
              <w:left w:val="nil"/>
              <w:bottom w:val="single" w:sz="4" w:space="0" w:color="auto"/>
              <w:right w:val="single" w:sz="4" w:space="0" w:color="auto"/>
            </w:tcBorders>
            <w:shd w:val="clear" w:color="auto" w:fill="auto"/>
            <w:vAlign w:val="center"/>
            <w:hideMark/>
          </w:tcPr>
          <w:p w:rsidR="00264930"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3,376,539</w:t>
            </w:r>
          </w:p>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(94.6%)</w:t>
            </w:r>
          </w:p>
        </w:tc>
        <w:tc>
          <w:tcPr>
            <w:tcW w:w="645" w:type="dxa"/>
            <w:tcBorders>
              <w:top w:val="nil"/>
              <w:left w:val="nil"/>
              <w:bottom w:val="single" w:sz="4" w:space="0" w:color="auto"/>
              <w:right w:val="single" w:sz="4" w:space="0" w:color="auto"/>
            </w:tcBorders>
            <w:shd w:val="clear" w:color="auto" w:fill="auto"/>
            <w:vAlign w:val="center"/>
            <w:hideMark/>
          </w:tcPr>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23</w:t>
            </w:r>
          </w:p>
        </w:tc>
        <w:tc>
          <w:tcPr>
            <w:tcW w:w="1970" w:type="dxa"/>
            <w:tcBorders>
              <w:top w:val="nil"/>
              <w:left w:val="nil"/>
              <w:bottom w:val="single" w:sz="4" w:space="0" w:color="auto"/>
              <w:right w:val="single" w:sz="4" w:space="0" w:color="auto"/>
            </w:tcBorders>
            <w:shd w:val="clear" w:color="auto" w:fill="auto"/>
            <w:vAlign w:val="center"/>
            <w:hideMark/>
          </w:tcPr>
          <w:p w:rsidR="00264930"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2,568,268</w:t>
            </w:r>
          </w:p>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(71.9%)</w:t>
            </w:r>
          </w:p>
        </w:tc>
        <w:tc>
          <w:tcPr>
            <w:tcW w:w="645" w:type="dxa"/>
            <w:tcBorders>
              <w:top w:val="nil"/>
              <w:left w:val="nil"/>
              <w:bottom w:val="single" w:sz="4" w:space="0" w:color="auto"/>
              <w:right w:val="single" w:sz="4" w:space="0" w:color="auto"/>
            </w:tcBorders>
            <w:shd w:val="clear" w:color="auto" w:fill="auto"/>
            <w:vAlign w:val="center"/>
            <w:hideMark/>
          </w:tcPr>
          <w:p w:rsidR="00D812C1" w:rsidRPr="000A272F" w:rsidRDefault="00030782" w:rsidP="00D812C1">
            <w:pPr>
              <w:jc w:val="right"/>
              <w:rPr>
                <w:rFonts w:ascii="Calibri" w:eastAsia="Malgun Gothic" w:hAnsi="Calibri" w:cs="Calibri"/>
                <w:color w:val="000000"/>
                <w:sz w:val="24"/>
                <w:szCs w:val="22"/>
              </w:rPr>
            </w:pPr>
            <w:r>
              <w:rPr>
                <w:rFonts w:ascii="Calibri" w:eastAsia="Malgun Gothic" w:hAnsi="Calibri" w:cs="Calibri" w:hint="eastAsia"/>
                <w:color w:val="000000"/>
                <w:sz w:val="24"/>
                <w:szCs w:val="22"/>
              </w:rPr>
              <w:t>9</w:t>
            </w:r>
          </w:p>
        </w:tc>
        <w:tc>
          <w:tcPr>
            <w:tcW w:w="1970" w:type="dxa"/>
            <w:tcBorders>
              <w:top w:val="nil"/>
              <w:left w:val="nil"/>
              <w:bottom w:val="single" w:sz="4" w:space="0" w:color="auto"/>
              <w:right w:val="single" w:sz="4" w:space="0" w:color="auto"/>
            </w:tcBorders>
            <w:shd w:val="clear" w:color="auto" w:fill="auto"/>
            <w:vAlign w:val="center"/>
            <w:hideMark/>
          </w:tcPr>
          <w:p w:rsidR="00264930" w:rsidRPr="000A272F" w:rsidRDefault="00030782" w:rsidP="00D812C1">
            <w:pPr>
              <w:jc w:val="right"/>
              <w:rPr>
                <w:rFonts w:ascii="Calibri" w:eastAsia="Malgun Gothic" w:hAnsi="Calibri" w:cs="Calibri"/>
                <w:color w:val="000000"/>
                <w:sz w:val="24"/>
                <w:szCs w:val="22"/>
              </w:rPr>
            </w:pPr>
            <w:r>
              <w:rPr>
                <w:rFonts w:ascii="Calibri" w:eastAsia="Malgun Gothic" w:hAnsi="Calibri" w:cs="Calibri"/>
                <w:color w:val="000000"/>
                <w:sz w:val="24"/>
                <w:szCs w:val="22"/>
              </w:rPr>
              <w:t>1,290</w:t>
            </w:r>
            <w:r w:rsidR="00D812C1" w:rsidRPr="000A272F">
              <w:rPr>
                <w:rFonts w:ascii="Calibri" w:eastAsia="Malgun Gothic" w:hAnsi="Calibri" w:cs="Calibri"/>
                <w:color w:val="000000"/>
                <w:sz w:val="24"/>
                <w:szCs w:val="22"/>
              </w:rPr>
              <w:t>,</w:t>
            </w:r>
            <w:r>
              <w:rPr>
                <w:rFonts w:ascii="Calibri" w:eastAsia="Malgun Gothic" w:hAnsi="Calibri" w:cs="Calibri"/>
                <w:color w:val="000000"/>
                <w:sz w:val="24"/>
                <w:szCs w:val="22"/>
              </w:rPr>
              <w:t>979</w:t>
            </w:r>
          </w:p>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w:t>
            </w:r>
            <w:r w:rsidR="00030782">
              <w:rPr>
                <w:rFonts w:ascii="Calibri" w:eastAsia="Malgun Gothic" w:hAnsi="Calibri" w:cs="Calibri"/>
                <w:color w:val="000000"/>
                <w:sz w:val="24"/>
                <w:szCs w:val="22"/>
              </w:rPr>
              <w:t>40</w:t>
            </w:r>
            <w:r w:rsidRPr="000A272F">
              <w:rPr>
                <w:rFonts w:ascii="Calibri" w:eastAsia="Malgun Gothic" w:hAnsi="Calibri" w:cs="Calibri"/>
                <w:color w:val="000000"/>
                <w:sz w:val="24"/>
                <w:szCs w:val="22"/>
              </w:rPr>
              <w:t>.</w:t>
            </w:r>
            <w:r w:rsidR="00492FD0">
              <w:rPr>
                <w:rFonts w:ascii="Calibri" w:eastAsia="Malgun Gothic" w:hAnsi="Calibri" w:cs="Calibri"/>
                <w:color w:val="000000"/>
                <w:sz w:val="24"/>
                <w:szCs w:val="22"/>
              </w:rPr>
              <w:t>7</w:t>
            </w:r>
            <w:r w:rsidRPr="000A272F">
              <w:rPr>
                <w:rFonts w:ascii="Calibri" w:eastAsia="Malgun Gothic" w:hAnsi="Calibri" w:cs="Calibri"/>
                <w:color w:val="000000"/>
                <w:sz w:val="24"/>
                <w:szCs w:val="22"/>
              </w:rPr>
              <w:t>%)</w:t>
            </w:r>
          </w:p>
        </w:tc>
      </w:tr>
      <w:tr w:rsidR="00261CCC" w:rsidRPr="000A272F" w:rsidTr="00261CCC">
        <w:trPr>
          <w:trHeight w:val="276"/>
        </w:trPr>
        <w:tc>
          <w:tcPr>
            <w:tcW w:w="1239" w:type="dxa"/>
            <w:tcBorders>
              <w:top w:val="nil"/>
              <w:left w:val="single" w:sz="4" w:space="0" w:color="auto"/>
              <w:bottom w:val="single" w:sz="4" w:space="0" w:color="auto"/>
              <w:right w:val="single" w:sz="4" w:space="0" w:color="auto"/>
            </w:tcBorders>
            <w:shd w:val="clear" w:color="000000" w:fill="D3DFEE"/>
            <w:vAlign w:val="center"/>
            <w:hideMark/>
          </w:tcPr>
          <w:p w:rsidR="00D812C1" w:rsidRPr="000A272F" w:rsidRDefault="00D812C1" w:rsidP="00D812C1">
            <w:pP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Container</w:t>
            </w:r>
          </w:p>
        </w:tc>
        <w:tc>
          <w:tcPr>
            <w:tcW w:w="644" w:type="dxa"/>
            <w:tcBorders>
              <w:top w:val="nil"/>
              <w:left w:val="nil"/>
              <w:bottom w:val="single" w:sz="4" w:space="0" w:color="auto"/>
              <w:right w:val="single" w:sz="4" w:space="0" w:color="auto"/>
            </w:tcBorders>
            <w:shd w:val="clear" w:color="000000" w:fill="D3DFEE"/>
            <w:vAlign w:val="center"/>
            <w:hideMark/>
          </w:tcPr>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2</w:t>
            </w:r>
          </w:p>
        </w:tc>
        <w:tc>
          <w:tcPr>
            <w:tcW w:w="1970" w:type="dxa"/>
            <w:tcBorders>
              <w:top w:val="nil"/>
              <w:left w:val="nil"/>
              <w:bottom w:val="single" w:sz="4" w:space="0" w:color="auto"/>
              <w:right w:val="single" w:sz="4" w:space="0" w:color="auto"/>
            </w:tcBorders>
            <w:shd w:val="clear" w:color="000000" w:fill="D3DFEE"/>
            <w:vAlign w:val="center"/>
            <w:hideMark/>
          </w:tcPr>
          <w:p w:rsidR="00264930"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129,947</w:t>
            </w:r>
          </w:p>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(3.6%)</w:t>
            </w:r>
          </w:p>
        </w:tc>
        <w:tc>
          <w:tcPr>
            <w:tcW w:w="645" w:type="dxa"/>
            <w:tcBorders>
              <w:top w:val="nil"/>
              <w:left w:val="nil"/>
              <w:bottom w:val="single" w:sz="4" w:space="0" w:color="auto"/>
              <w:right w:val="single" w:sz="4" w:space="0" w:color="auto"/>
            </w:tcBorders>
            <w:shd w:val="clear" w:color="000000" w:fill="D3DFEE"/>
            <w:vAlign w:val="center"/>
            <w:hideMark/>
          </w:tcPr>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4</w:t>
            </w:r>
          </w:p>
        </w:tc>
        <w:tc>
          <w:tcPr>
            <w:tcW w:w="1970" w:type="dxa"/>
            <w:tcBorders>
              <w:top w:val="nil"/>
              <w:left w:val="nil"/>
              <w:bottom w:val="single" w:sz="4" w:space="0" w:color="auto"/>
              <w:right w:val="single" w:sz="4" w:space="0" w:color="auto"/>
            </w:tcBorders>
            <w:shd w:val="clear" w:color="000000" w:fill="D3DFEE"/>
            <w:vAlign w:val="center"/>
            <w:hideMark/>
          </w:tcPr>
          <w:p w:rsidR="00264930"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275,755</w:t>
            </w:r>
          </w:p>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(7.7%)</w:t>
            </w:r>
          </w:p>
        </w:tc>
        <w:tc>
          <w:tcPr>
            <w:tcW w:w="645" w:type="dxa"/>
            <w:tcBorders>
              <w:top w:val="nil"/>
              <w:left w:val="nil"/>
              <w:bottom w:val="single" w:sz="4" w:space="0" w:color="auto"/>
              <w:right w:val="single" w:sz="4" w:space="0" w:color="auto"/>
            </w:tcBorders>
            <w:shd w:val="clear" w:color="000000" w:fill="D3DFEE"/>
            <w:vAlign w:val="center"/>
            <w:hideMark/>
          </w:tcPr>
          <w:p w:rsidR="00D812C1" w:rsidRPr="000A272F" w:rsidRDefault="00030782" w:rsidP="00D812C1">
            <w:pPr>
              <w:jc w:val="right"/>
              <w:rPr>
                <w:rFonts w:ascii="Calibri" w:eastAsia="Malgun Gothic" w:hAnsi="Calibri" w:cs="Calibri"/>
                <w:color w:val="000000"/>
                <w:sz w:val="24"/>
                <w:szCs w:val="22"/>
              </w:rPr>
            </w:pPr>
            <w:r>
              <w:rPr>
                <w:rFonts w:ascii="Calibri" w:eastAsia="Malgun Gothic" w:hAnsi="Calibri" w:cs="Calibri" w:hint="eastAsia"/>
                <w:color w:val="000000"/>
                <w:sz w:val="24"/>
                <w:szCs w:val="22"/>
              </w:rPr>
              <w:t>2</w:t>
            </w:r>
          </w:p>
        </w:tc>
        <w:tc>
          <w:tcPr>
            <w:tcW w:w="1970" w:type="dxa"/>
            <w:tcBorders>
              <w:top w:val="nil"/>
              <w:left w:val="nil"/>
              <w:bottom w:val="single" w:sz="4" w:space="0" w:color="auto"/>
              <w:right w:val="single" w:sz="4" w:space="0" w:color="auto"/>
            </w:tcBorders>
            <w:shd w:val="clear" w:color="000000" w:fill="D3DFEE"/>
            <w:vAlign w:val="center"/>
            <w:hideMark/>
          </w:tcPr>
          <w:p w:rsidR="00264930" w:rsidRPr="000A272F" w:rsidRDefault="00030782" w:rsidP="00D812C1">
            <w:pPr>
              <w:jc w:val="right"/>
              <w:rPr>
                <w:rFonts w:ascii="Calibri" w:eastAsia="Malgun Gothic" w:hAnsi="Calibri" w:cs="Calibri"/>
                <w:color w:val="000000"/>
                <w:sz w:val="24"/>
                <w:szCs w:val="22"/>
              </w:rPr>
            </w:pPr>
            <w:r>
              <w:rPr>
                <w:rFonts w:ascii="Calibri" w:eastAsia="Malgun Gothic" w:hAnsi="Calibri" w:cs="Calibri"/>
                <w:color w:val="000000"/>
                <w:sz w:val="24"/>
                <w:szCs w:val="22"/>
              </w:rPr>
              <w:t>5</w:t>
            </w:r>
            <w:r w:rsidR="00D812C1" w:rsidRPr="000A272F">
              <w:rPr>
                <w:rFonts w:ascii="Calibri" w:eastAsia="Malgun Gothic" w:hAnsi="Calibri" w:cs="Calibri"/>
                <w:color w:val="000000"/>
                <w:sz w:val="24"/>
                <w:szCs w:val="22"/>
              </w:rPr>
              <w:t>3,</w:t>
            </w:r>
            <w:r>
              <w:rPr>
                <w:rFonts w:ascii="Calibri" w:eastAsia="Malgun Gothic" w:hAnsi="Calibri" w:cs="Calibri"/>
                <w:color w:val="000000"/>
                <w:sz w:val="24"/>
                <w:szCs w:val="22"/>
              </w:rPr>
              <w:t>816</w:t>
            </w:r>
          </w:p>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w:t>
            </w:r>
            <w:r w:rsidR="00030782">
              <w:rPr>
                <w:rFonts w:ascii="Calibri" w:eastAsia="Malgun Gothic" w:hAnsi="Calibri" w:cs="Calibri"/>
                <w:color w:val="000000"/>
                <w:sz w:val="24"/>
                <w:szCs w:val="22"/>
              </w:rPr>
              <w:t>1</w:t>
            </w:r>
            <w:r w:rsidRPr="000A272F">
              <w:rPr>
                <w:rFonts w:ascii="Calibri" w:eastAsia="Malgun Gothic" w:hAnsi="Calibri" w:cs="Calibri"/>
                <w:color w:val="000000"/>
                <w:sz w:val="24"/>
                <w:szCs w:val="22"/>
              </w:rPr>
              <w:t>.</w:t>
            </w:r>
            <w:r w:rsidR="00030782">
              <w:rPr>
                <w:rFonts w:ascii="Calibri" w:eastAsia="Malgun Gothic" w:hAnsi="Calibri" w:cs="Calibri"/>
                <w:color w:val="000000"/>
                <w:sz w:val="24"/>
                <w:szCs w:val="22"/>
              </w:rPr>
              <w:t>7</w:t>
            </w:r>
            <w:r w:rsidRPr="000A272F">
              <w:rPr>
                <w:rFonts w:ascii="Calibri" w:eastAsia="Malgun Gothic" w:hAnsi="Calibri" w:cs="Calibri"/>
                <w:color w:val="000000"/>
                <w:sz w:val="24"/>
                <w:szCs w:val="22"/>
              </w:rPr>
              <w:t>%)</w:t>
            </w:r>
          </w:p>
        </w:tc>
      </w:tr>
      <w:tr w:rsidR="00261CCC" w:rsidRPr="000A272F" w:rsidTr="00261CCC">
        <w:trPr>
          <w:trHeight w:val="276"/>
        </w:trPr>
        <w:tc>
          <w:tcPr>
            <w:tcW w:w="1239" w:type="dxa"/>
            <w:tcBorders>
              <w:top w:val="nil"/>
              <w:left w:val="single" w:sz="4" w:space="0" w:color="auto"/>
              <w:bottom w:val="single" w:sz="4" w:space="0" w:color="auto"/>
              <w:right w:val="single" w:sz="4" w:space="0" w:color="auto"/>
            </w:tcBorders>
            <w:shd w:val="clear" w:color="auto" w:fill="auto"/>
            <w:vAlign w:val="center"/>
            <w:hideMark/>
          </w:tcPr>
          <w:p w:rsidR="00D812C1" w:rsidRPr="000A272F" w:rsidRDefault="00D812C1" w:rsidP="00D812C1">
            <w:pP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Tanker</w:t>
            </w:r>
          </w:p>
        </w:tc>
        <w:tc>
          <w:tcPr>
            <w:tcW w:w="644" w:type="dxa"/>
            <w:tcBorders>
              <w:top w:val="nil"/>
              <w:left w:val="nil"/>
              <w:bottom w:val="single" w:sz="4" w:space="0" w:color="auto"/>
              <w:right w:val="single" w:sz="4" w:space="0" w:color="auto"/>
            </w:tcBorders>
            <w:shd w:val="clear" w:color="auto" w:fill="auto"/>
            <w:vAlign w:val="center"/>
            <w:hideMark/>
          </w:tcPr>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2</w:t>
            </w:r>
          </w:p>
        </w:tc>
        <w:tc>
          <w:tcPr>
            <w:tcW w:w="1970" w:type="dxa"/>
            <w:tcBorders>
              <w:top w:val="nil"/>
              <w:left w:val="nil"/>
              <w:bottom w:val="single" w:sz="4" w:space="0" w:color="auto"/>
              <w:right w:val="single" w:sz="4" w:space="0" w:color="auto"/>
            </w:tcBorders>
            <w:shd w:val="clear" w:color="auto" w:fill="auto"/>
            <w:vAlign w:val="center"/>
            <w:hideMark/>
          </w:tcPr>
          <w:p w:rsidR="00264930"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6,718</w:t>
            </w:r>
          </w:p>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(0.</w:t>
            </w:r>
            <w:r w:rsidR="00492FD0">
              <w:rPr>
                <w:rFonts w:ascii="Calibri" w:eastAsia="Malgun Gothic" w:hAnsi="Calibri" w:cs="Calibri"/>
                <w:color w:val="000000"/>
                <w:sz w:val="24"/>
                <w:szCs w:val="22"/>
              </w:rPr>
              <w:t>3</w:t>
            </w:r>
            <w:r w:rsidRPr="000A272F">
              <w:rPr>
                <w:rFonts w:ascii="Calibri" w:eastAsia="Malgun Gothic" w:hAnsi="Calibri" w:cs="Calibri"/>
                <w:color w:val="000000"/>
                <w:sz w:val="24"/>
                <w:szCs w:val="22"/>
              </w:rPr>
              <w:t>%)</w:t>
            </w:r>
          </w:p>
        </w:tc>
        <w:tc>
          <w:tcPr>
            <w:tcW w:w="645" w:type="dxa"/>
            <w:tcBorders>
              <w:top w:val="nil"/>
              <w:left w:val="nil"/>
              <w:bottom w:val="single" w:sz="4" w:space="0" w:color="auto"/>
              <w:right w:val="single" w:sz="4" w:space="0" w:color="auto"/>
            </w:tcBorders>
            <w:shd w:val="clear" w:color="auto" w:fill="auto"/>
            <w:vAlign w:val="center"/>
            <w:hideMark/>
          </w:tcPr>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7</w:t>
            </w:r>
          </w:p>
        </w:tc>
        <w:tc>
          <w:tcPr>
            <w:tcW w:w="1970" w:type="dxa"/>
            <w:tcBorders>
              <w:top w:val="nil"/>
              <w:left w:val="nil"/>
              <w:bottom w:val="single" w:sz="4" w:space="0" w:color="auto"/>
              <w:right w:val="single" w:sz="4" w:space="0" w:color="auto"/>
            </w:tcBorders>
            <w:shd w:val="clear" w:color="auto" w:fill="auto"/>
            <w:vAlign w:val="center"/>
            <w:hideMark/>
          </w:tcPr>
          <w:p w:rsidR="00264930"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677,591</w:t>
            </w:r>
          </w:p>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(19.0%)</w:t>
            </w:r>
          </w:p>
        </w:tc>
        <w:tc>
          <w:tcPr>
            <w:tcW w:w="645" w:type="dxa"/>
            <w:tcBorders>
              <w:top w:val="nil"/>
              <w:left w:val="nil"/>
              <w:bottom w:val="single" w:sz="4" w:space="0" w:color="auto"/>
              <w:right w:val="single" w:sz="4" w:space="0" w:color="auto"/>
            </w:tcBorders>
            <w:shd w:val="clear" w:color="auto" w:fill="auto"/>
            <w:vAlign w:val="center"/>
            <w:hideMark/>
          </w:tcPr>
          <w:p w:rsidR="00D812C1" w:rsidRPr="000A272F" w:rsidRDefault="00030782" w:rsidP="00D812C1">
            <w:pPr>
              <w:jc w:val="right"/>
              <w:rPr>
                <w:rFonts w:ascii="Calibri" w:eastAsia="Malgun Gothic" w:hAnsi="Calibri" w:cs="Calibri"/>
                <w:color w:val="000000"/>
                <w:sz w:val="24"/>
                <w:szCs w:val="22"/>
              </w:rPr>
            </w:pPr>
            <w:r>
              <w:rPr>
                <w:rFonts w:ascii="Calibri" w:eastAsia="Malgun Gothic" w:hAnsi="Calibri" w:cs="Calibri" w:hint="eastAsia"/>
                <w:color w:val="000000"/>
                <w:sz w:val="24"/>
                <w:szCs w:val="22"/>
              </w:rPr>
              <w:t>1</w:t>
            </w:r>
            <w:r>
              <w:rPr>
                <w:rFonts w:ascii="Calibri" w:eastAsia="Malgun Gothic" w:hAnsi="Calibri" w:cs="Calibri"/>
                <w:color w:val="000000"/>
                <w:sz w:val="24"/>
                <w:szCs w:val="22"/>
              </w:rPr>
              <w:t>6</w:t>
            </w:r>
          </w:p>
        </w:tc>
        <w:tc>
          <w:tcPr>
            <w:tcW w:w="1970" w:type="dxa"/>
            <w:tcBorders>
              <w:top w:val="nil"/>
              <w:left w:val="nil"/>
              <w:bottom w:val="single" w:sz="4" w:space="0" w:color="auto"/>
              <w:right w:val="single" w:sz="4" w:space="0" w:color="auto"/>
            </w:tcBorders>
            <w:shd w:val="clear" w:color="auto" w:fill="auto"/>
            <w:vAlign w:val="center"/>
            <w:hideMark/>
          </w:tcPr>
          <w:p w:rsidR="00264930" w:rsidRPr="000A272F" w:rsidRDefault="00030782" w:rsidP="00D812C1">
            <w:pPr>
              <w:jc w:val="right"/>
              <w:rPr>
                <w:rFonts w:ascii="Calibri" w:eastAsia="Malgun Gothic" w:hAnsi="Calibri" w:cs="Calibri"/>
                <w:color w:val="000000"/>
                <w:sz w:val="24"/>
                <w:szCs w:val="22"/>
              </w:rPr>
            </w:pPr>
            <w:r>
              <w:rPr>
                <w:rFonts w:ascii="Calibri" w:eastAsia="Malgun Gothic" w:hAnsi="Calibri" w:cs="Calibri"/>
                <w:color w:val="000000"/>
                <w:sz w:val="24"/>
                <w:szCs w:val="22"/>
              </w:rPr>
              <w:t>1</w:t>
            </w:r>
            <w:r w:rsidR="00D812C1" w:rsidRPr="000A272F">
              <w:rPr>
                <w:rFonts w:ascii="Calibri" w:eastAsia="Malgun Gothic" w:hAnsi="Calibri" w:cs="Calibri"/>
                <w:color w:val="000000"/>
                <w:sz w:val="24"/>
                <w:szCs w:val="22"/>
              </w:rPr>
              <w:t>,</w:t>
            </w:r>
            <w:r>
              <w:rPr>
                <w:rFonts w:ascii="Calibri" w:eastAsia="Malgun Gothic" w:hAnsi="Calibri" w:cs="Calibri"/>
                <w:color w:val="000000"/>
                <w:sz w:val="24"/>
                <w:szCs w:val="22"/>
              </w:rPr>
              <w:t>736</w:t>
            </w:r>
            <w:r w:rsidR="00D812C1" w:rsidRPr="000A272F">
              <w:rPr>
                <w:rFonts w:ascii="Calibri" w:eastAsia="Malgun Gothic" w:hAnsi="Calibri" w:cs="Calibri"/>
                <w:color w:val="000000"/>
                <w:sz w:val="24"/>
                <w:szCs w:val="22"/>
              </w:rPr>
              <w:t>,</w:t>
            </w:r>
            <w:r>
              <w:rPr>
                <w:rFonts w:ascii="Calibri" w:eastAsia="Malgun Gothic" w:hAnsi="Calibri" w:cs="Calibri"/>
                <w:color w:val="000000"/>
                <w:sz w:val="24"/>
                <w:szCs w:val="22"/>
              </w:rPr>
              <w:t>446</w:t>
            </w:r>
          </w:p>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w:t>
            </w:r>
            <w:r w:rsidR="00030782">
              <w:rPr>
                <w:rFonts w:ascii="Calibri" w:eastAsia="Malgun Gothic" w:hAnsi="Calibri" w:cs="Calibri"/>
                <w:color w:val="000000"/>
                <w:sz w:val="24"/>
                <w:szCs w:val="22"/>
              </w:rPr>
              <w:t>54</w:t>
            </w:r>
            <w:r w:rsidRPr="000A272F">
              <w:rPr>
                <w:rFonts w:ascii="Calibri" w:eastAsia="Malgun Gothic" w:hAnsi="Calibri" w:cs="Calibri"/>
                <w:color w:val="000000"/>
                <w:sz w:val="24"/>
                <w:szCs w:val="22"/>
              </w:rPr>
              <w:t>.</w:t>
            </w:r>
            <w:r w:rsidR="00030782">
              <w:rPr>
                <w:rFonts w:ascii="Calibri" w:eastAsia="Malgun Gothic" w:hAnsi="Calibri" w:cs="Calibri"/>
                <w:color w:val="000000"/>
                <w:sz w:val="24"/>
                <w:szCs w:val="22"/>
              </w:rPr>
              <w:t>9</w:t>
            </w:r>
            <w:r w:rsidRPr="000A272F">
              <w:rPr>
                <w:rFonts w:ascii="Calibri" w:eastAsia="Malgun Gothic" w:hAnsi="Calibri" w:cs="Calibri"/>
                <w:color w:val="000000"/>
                <w:sz w:val="24"/>
                <w:szCs w:val="22"/>
              </w:rPr>
              <w:t>%)</w:t>
            </w:r>
          </w:p>
        </w:tc>
      </w:tr>
      <w:tr w:rsidR="00261CCC" w:rsidRPr="000A272F" w:rsidTr="00261CCC">
        <w:trPr>
          <w:trHeight w:val="276"/>
        </w:trPr>
        <w:tc>
          <w:tcPr>
            <w:tcW w:w="1239" w:type="dxa"/>
            <w:tcBorders>
              <w:top w:val="nil"/>
              <w:left w:val="single" w:sz="4" w:space="0" w:color="auto"/>
              <w:bottom w:val="single" w:sz="4" w:space="0" w:color="auto"/>
              <w:right w:val="single" w:sz="4" w:space="0" w:color="auto"/>
            </w:tcBorders>
            <w:shd w:val="clear" w:color="000000" w:fill="D3DFEE"/>
            <w:vAlign w:val="center"/>
            <w:hideMark/>
          </w:tcPr>
          <w:p w:rsidR="00D812C1" w:rsidRPr="000A272F" w:rsidRDefault="00D812C1" w:rsidP="00D812C1">
            <w:pP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Others</w:t>
            </w:r>
          </w:p>
        </w:tc>
        <w:tc>
          <w:tcPr>
            <w:tcW w:w="644" w:type="dxa"/>
            <w:tcBorders>
              <w:top w:val="nil"/>
              <w:left w:val="nil"/>
              <w:bottom w:val="single" w:sz="4" w:space="0" w:color="auto"/>
              <w:right w:val="single" w:sz="4" w:space="0" w:color="auto"/>
            </w:tcBorders>
            <w:shd w:val="clear" w:color="000000" w:fill="D3DFEE"/>
            <w:vAlign w:val="center"/>
            <w:hideMark/>
          </w:tcPr>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5</w:t>
            </w:r>
          </w:p>
        </w:tc>
        <w:tc>
          <w:tcPr>
            <w:tcW w:w="1970" w:type="dxa"/>
            <w:tcBorders>
              <w:top w:val="nil"/>
              <w:left w:val="nil"/>
              <w:bottom w:val="single" w:sz="4" w:space="0" w:color="auto"/>
              <w:right w:val="single" w:sz="4" w:space="0" w:color="auto"/>
            </w:tcBorders>
            <w:shd w:val="clear" w:color="000000" w:fill="D3DFEE"/>
            <w:vAlign w:val="center"/>
            <w:hideMark/>
          </w:tcPr>
          <w:p w:rsidR="00264930"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54,858</w:t>
            </w:r>
          </w:p>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(1.5%)</w:t>
            </w:r>
          </w:p>
        </w:tc>
        <w:tc>
          <w:tcPr>
            <w:tcW w:w="645" w:type="dxa"/>
            <w:tcBorders>
              <w:top w:val="nil"/>
              <w:left w:val="nil"/>
              <w:bottom w:val="single" w:sz="4" w:space="0" w:color="auto"/>
              <w:right w:val="single" w:sz="4" w:space="0" w:color="auto"/>
            </w:tcBorders>
            <w:shd w:val="clear" w:color="000000" w:fill="D3DFEE"/>
            <w:vAlign w:val="center"/>
            <w:hideMark/>
          </w:tcPr>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8</w:t>
            </w:r>
          </w:p>
        </w:tc>
        <w:tc>
          <w:tcPr>
            <w:tcW w:w="1970" w:type="dxa"/>
            <w:tcBorders>
              <w:top w:val="nil"/>
              <w:left w:val="nil"/>
              <w:bottom w:val="single" w:sz="4" w:space="0" w:color="auto"/>
              <w:right w:val="single" w:sz="4" w:space="0" w:color="auto"/>
            </w:tcBorders>
            <w:shd w:val="clear" w:color="000000" w:fill="D3DFEE"/>
            <w:vAlign w:val="center"/>
            <w:hideMark/>
          </w:tcPr>
          <w:p w:rsidR="00264930"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50,545</w:t>
            </w:r>
          </w:p>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(1.4%)</w:t>
            </w:r>
          </w:p>
        </w:tc>
        <w:tc>
          <w:tcPr>
            <w:tcW w:w="645" w:type="dxa"/>
            <w:tcBorders>
              <w:top w:val="nil"/>
              <w:left w:val="nil"/>
              <w:bottom w:val="single" w:sz="4" w:space="0" w:color="auto"/>
              <w:right w:val="single" w:sz="4" w:space="0" w:color="auto"/>
            </w:tcBorders>
            <w:shd w:val="clear" w:color="000000" w:fill="D3DFEE"/>
            <w:vAlign w:val="center"/>
            <w:hideMark/>
          </w:tcPr>
          <w:p w:rsidR="00D812C1" w:rsidRPr="000A272F" w:rsidRDefault="00030782" w:rsidP="00D812C1">
            <w:pPr>
              <w:jc w:val="right"/>
              <w:rPr>
                <w:rFonts w:ascii="Calibri" w:eastAsia="Malgun Gothic" w:hAnsi="Calibri" w:cs="Calibri"/>
                <w:color w:val="000000"/>
                <w:sz w:val="24"/>
                <w:szCs w:val="22"/>
              </w:rPr>
            </w:pPr>
            <w:r>
              <w:rPr>
                <w:rFonts w:ascii="Calibri" w:eastAsia="Malgun Gothic" w:hAnsi="Calibri" w:cs="Calibri" w:hint="eastAsia"/>
                <w:color w:val="000000"/>
                <w:sz w:val="24"/>
                <w:szCs w:val="22"/>
              </w:rPr>
              <w:t>5</w:t>
            </w:r>
          </w:p>
        </w:tc>
        <w:tc>
          <w:tcPr>
            <w:tcW w:w="1970" w:type="dxa"/>
            <w:tcBorders>
              <w:top w:val="nil"/>
              <w:left w:val="nil"/>
              <w:bottom w:val="single" w:sz="4" w:space="0" w:color="auto"/>
              <w:right w:val="single" w:sz="4" w:space="0" w:color="auto"/>
            </w:tcBorders>
            <w:shd w:val="clear" w:color="000000" w:fill="D3DFEE"/>
            <w:vAlign w:val="center"/>
            <w:hideMark/>
          </w:tcPr>
          <w:p w:rsidR="00264930" w:rsidRPr="000A272F" w:rsidRDefault="00030782" w:rsidP="00D812C1">
            <w:pPr>
              <w:jc w:val="right"/>
              <w:rPr>
                <w:rFonts w:ascii="Calibri" w:eastAsia="Malgun Gothic" w:hAnsi="Calibri" w:cs="Calibri"/>
                <w:color w:val="000000"/>
                <w:sz w:val="24"/>
                <w:szCs w:val="22"/>
              </w:rPr>
            </w:pPr>
            <w:r>
              <w:rPr>
                <w:rFonts w:ascii="Calibri" w:eastAsia="Malgun Gothic" w:hAnsi="Calibri" w:cs="Calibri"/>
                <w:color w:val="000000"/>
                <w:sz w:val="24"/>
                <w:szCs w:val="22"/>
              </w:rPr>
              <w:t>84</w:t>
            </w:r>
            <w:r w:rsidR="00D812C1" w:rsidRPr="000A272F">
              <w:rPr>
                <w:rFonts w:ascii="Calibri" w:eastAsia="Malgun Gothic" w:hAnsi="Calibri" w:cs="Calibri"/>
                <w:color w:val="000000"/>
                <w:sz w:val="24"/>
                <w:szCs w:val="22"/>
              </w:rPr>
              <w:t>,</w:t>
            </w:r>
            <w:r>
              <w:rPr>
                <w:rFonts w:ascii="Calibri" w:eastAsia="Malgun Gothic" w:hAnsi="Calibri" w:cs="Calibri"/>
                <w:color w:val="000000"/>
                <w:sz w:val="24"/>
                <w:szCs w:val="22"/>
              </w:rPr>
              <w:t>392</w:t>
            </w:r>
          </w:p>
          <w:p w:rsidR="00D812C1" w:rsidRPr="000A272F" w:rsidRDefault="00D812C1" w:rsidP="00D812C1">
            <w:pPr>
              <w:jc w:val="right"/>
              <w:rPr>
                <w:rFonts w:ascii="Calibri" w:eastAsia="Malgun Gothic" w:hAnsi="Calibri" w:cs="Calibri"/>
                <w:color w:val="000000"/>
                <w:sz w:val="24"/>
                <w:szCs w:val="22"/>
              </w:rPr>
            </w:pPr>
            <w:r w:rsidRPr="000A272F">
              <w:rPr>
                <w:rFonts w:ascii="Calibri" w:eastAsia="Malgun Gothic" w:hAnsi="Calibri" w:cs="Calibri"/>
                <w:color w:val="000000"/>
                <w:sz w:val="24"/>
                <w:szCs w:val="22"/>
              </w:rPr>
              <w:t>(</w:t>
            </w:r>
            <w:r w:rsidR="00030782">
              <w:rPr>
                <w:rFonts w:ascii="Calibri" w:eastAsia="Malgun Gothic" w:hAnsi="Calibri" w:cs="Calibri"/>
                <w:color w:val="000000"/>
                <w:sz w:val="24"/>
                <w:szCs w:val="22"/>
              </w:rPr>
              <w:t>2</w:t>
            </w:r>
            <w:r w:rsidRPr="000A272F">
              <w:rPr>
                <w:rFonts w:ascii="Calibri" w:eastAsia="Malgun Gothic" w:hAnsi="Calibri" w:cs="Calibri"/>
                <w:color w:val="000000"/>
                <w:sz w:val="24"/>
                <w:szCs w:val="22"/>
              </w:rPr>
              <w:t>.7%)</w:t>
            </w:r>
          </w:p>
        </w:tc>
      </w:tr>
      <w:tr w:rsidR="00261CCC" w:rsidRPr="000A272F" w:rsidTr="00261CCC">
        <w:trPr>
          <w:trHeight w:val="276"/>
        </w:trPr>
        <w:tc>
          <w:tcPr>
            <w:tcW w:w="1239" w:type="dxa"/>
            <w:tcBorders>
              <w:top w:val="nil"/>
              <w:left w:val="single" w:sz="4" w:space="0" w:color="auto"/>
              <w:bottom w:val="single" w:sz="4" w:space="0" w:color="auto"/>
              <w:right w:val="single" w:sz="4" w:space="0" w:color="auto"/>
            </w:tcBorders>
            <w:shd w:val="clear" w:color="auto" w:fill="auto"/>
            <w:vAlign w:val="center"/>
            <w:hideMark/>
          </w:tcPr>
          <w:p w:rsidR="00D812C1" w:rsidRPr="000A272F" w:rsidRDefault="00D812C1" w:rsidP="00D812C1">
            <w:pPr>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Total</w:t>
            </w:r>
          </w:p>
        </w:tc>
        <w:tc>
          <w:tcPr>
            <w:tcW w:w="644" w:type="dxa"/>
            <w:tcBorders>
              <w:top w:val="nil"/>
              <w:left w:val="nil"/>
              <w:bottom w:val="single" w:sz="4" w:space="0" w:color="auto"/>
              <w:right w:val="single" w:sz="4" w:space="0" w:color="auto"/>
            </w:tcBorders>
            <w:shd w:val="clear" w:color="auto" w:fill="auto"/>
            <w:vAlign w:val="center"/>
            <w:hideMark/>
          </w:tcPr>
          <w:p w:rsidR="00D812C1" w:rsidRPr="000A272F" w:rsidRDefault="00D812C1" w:rsidP="00D812C1">
            <w:pPr>
              <w:jc w:val="right"/>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45</w:t>
            </w:r>
          </w:p>
        </w:tc>
        <w:tc>
          <w:tcPr>
            <w:tcW w:w="1970" w:type="dxa"/>
            <w:tcBorders>
              <w:top w:val="nil"/>
              <w:left w:val="nil"/>
              <w:bottom w:val="single" w:sz="4" w:space="0" w:color="auto"/>
              <w:right w:val="single" w:sz="4" w:space="0" w:color="auto"/>
            </w:tcBorders>
            <w:shd w:val="clear" w:color="auto" w:fill="auto"/>
            <w:vAlign w:val="center"/>
            <w:hideMark/>
          </w:tcPr>
          <w:p w:rsidR="00264930" w:rsidRPr="000A272F" w:rsidRDefault="00D812C1" w:rsidP="00D812C1">
            <w:pPr>
              <w:jc w:val="right"/>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3,568,062</w:t>
            </w:r>
          </w:p>
          <w:p w:rsidR="00D812C1" w:rsidRPr="000A272F" w:rsidRDefault="00D812C1" w:rsidP="00D812C1">
            <w:pPr>
              <w:jc w:val="right"/>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(100%)</w:t>
            </w:r>
          </w:p>
        </w:tc>
        <w:tc>
          <w:tcPr>
            <w:tcW w:w="645" w:type="dxa"/>
            <w:tcBorders>
              <w:top w:val="nil"/>
              <w:left w:val="nil"/>
              <w:bottom w:val="single" w:sz="4" w:space="0" w:color="auto"/>
              <w:right w:val="single" w:sz="4" w:space="0" w:color="auto"/>
            </w:tcBorders>
            <w:shd w:val="clear" w:color="auto" w:fill="auto"/>
            <w:vAlign w:val="center"/>
            <w:hideMark/>
          </w:tcPr>
          <w:p w:rsidR="00D812C1" w:rsidRPr="000A272F" w:rsidRDefault="00D812C1" w:rsidP="00D812C1">
            <w:pPr>
              <w:jc w:val="right"/>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42</w:t>
            </w:r>
          </w:p>
        </w:tc>
        <w:tc>
          <w:tcPr>
            <w:tcW w:w="1970" w:type="dxa"/>
            <w:tcBorders>
              <w:top w:val="nil"/>
              <w:left w:val="nil"/>
              <w:bottom w:val="single" w:sz="4" w:space="0" w:color="auto"/>
              <w:right w:val="single" w:sz="4" w:space="0" w:color="auto"/>
            </w:tcBorders>
            <w:shd w:val="clear" w:color="auto" w:fill="auto"/>
            <w:vAlign w:val="center"/>
            <w:hideMark/>
          </w:tcPr>
          <w:p w:rsidR="00264930" w:rsidRPr="000A272F" w:rsidRDefault="00D812C1" w:rsidP="00D812C1">
            <w:pPr>
              <w:jc w:val="right"/>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3,572,159</w:t>
            </w:r>
          </w:p>
          <w:p w:rsidR="00D812C1" w:rsidRPr="000A272F" w:rsidRDefault="00D812C1" w:rsidP="00D812C1">
            <w:pPr>
              <w:jc w:val="right"/>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(100%)</w:t>
            </w:r>
          </w:p>
        </w:tc>
        <w:tc>
          <w:tcPr>
            <w:tcW w:w="645" w:type="dxa"/>
            <w:tcBorders>
              <w:top w:val="nil"/>
              <w:left w:val="nil"/>
              <w:bottom w:val="single" w:sz="4" w:space="0" w:color="auto"/>
              <w:right w:val="single" w:sz="4" w:space="0" w:color="auto"/>
            </w:tcBorders>
            <w:shd w:val="clear" w:color="auto" w:fill="auto"/>
            <w:vAlign w:val="center"/>
            <w:hideMark/>
          </w:tcPr>
          <w:p w:rsidR="00D812C1" w:rsidRPr="000A272F" w:rsidRDefault="00030782" w:rsidP="00D812C1">
            <w:pPr>
              <w:jc w:val="right"/>
              <w:rPr>
                <w:rFonts w:ascii="Calibri" w:eastAsia="Malgun Gothic" w:hAnsi="Calibri" w:cs="Calibri"/>
                <w:b/>
                <w:bCs/>
                <w:color w:val="000000"/>
                <w:sz w:val="24"/>
                <w:szCs w:val="22"/>
              </w:rPr>
            </w:pPr>
            <w:r>
              <w:rPr>
                <w:rFonts w:ascii="Calibri" w:eastAsia="Malgun Gothic" w:hAnsi="Calibri" w:cs="Calibri" w:hint="eastAsia"/>
                <w:b/>
                <w:bCs/>
                <w:color w:val="000000"/>
                <w:sz w:val="24"/>
                <w:szCs w:val="22"/>
              </w:rPr>
              <w:t>3</w:t>
            </w:r>
            <w:r>
              <w:rPr>
                <w:rFonts w:ascii="Calibri" w:eastAsia="Malgun Gothic" w:hAnsi="Calibri" w:cs="Calibri"/>
                <w:b/>
                <w:bCs/>
                <w:color w:val="000000"/>
                <w:sz w:val="24"/>
                <w:szCs w:val="22"/>
              </w:rPr>
              <w:t>2</w:t>
            </w:r>
          </w:p>
        </w:tc>
        <w:tc>
          <w:tcPr>
            <w:tcW w:w="1970" w:type="dxa"/>
            <w:tcBorders>
              <w:top w:val="nil"/>
              <w:left w:val="nil"/>
              <w:bottom w:val="single" w:sz="4" w:space="0" w:color="auto"/>
              <w:right w:val="single" w:sz="4" w:space="0" w:color="auto"/>
            </w:tcBorders>
            <w:shd w:val="clear" w:color="auto" w:fill="auto"/>
            <w:vAlign w:val="center"/>
            <w:hideMark/>
          </w:tcPr>
          <w:p w:rsidR="008A16F9" w:rsidRDefault="00030782" w:rsidP="00D812C1">
            <w:pPr>
              <w:jc w:val="right"/>
              <w:rPr>
                <w:rFonts w:ascii="Calibri" w:eastAsia="Malgun Gothic" w:hAnsi="Calibri" w:cs="Calibri"/>
                <w:b/>
                <w:bCs/>
                <w:color w:val="000000"/>
                <w:sz w:val="24"/>
                <w:szCs w:val="22"/>
              </w:rPr>
            </w:pPr>
            <w:r>
              <w:rPr>
                <w:rFonts w:ascii="Calibri" w:eastAsia="Malgun Gothic" w:hAnsi="Calibri" w:cs="Calibri"/>
                <w:b/>
                <w:bCs/>
                <w:color w:val="000000"/>
                <w:sz w:val="24"/>
                <w:szCs w:val="22"/>
              </w:rPr>
              <w:t>3</w:t>
            </w:r>
            <w:r w:rsidR="00D812C1" w:rsidRPr="000A272F">
              <w:rPr>
                <w:rFonts w:ascii="Calibri" w:eastAsia="Malgun Gothic" w:hAnsi="Calibri" w:cs="Calibri"/>
                <w:b/>
                <w:bCs/>
                <w:color w:val="000000"/>
                <w:sz w:val="24"/>
                <w:szCs w:val="22"/>
              </w:rPr>
              <w:t>,</w:t>
            </w:r>
            <w:r>
              <w:rPr>
                <w:rFonts w:ascii="Calibri" w:eastAsia="Malgun Gothic" w:hAnsi="Calibri" w:cs="Calibri"/>
                <w:b/>
                <w:bCs/>
                <w:color w:val="000000"/>
                <w:sz w:val="24"/>
                <w:szCs w:val="22"/>
              </w:rPr>
              <w:t>165</w:t>
            </w:r>
            <w:r w:rsidR="00D812C1" w:rsidRPr="000A272F">
              <w:rPr>
                <w:rFonts w:ascii="Calibri" w:eastAsia="Malgun Gothic" w:hAnsi="Calibri" w:cs="Calibri"/>
                <w:b/>
                <w:bCs/>
                <w:color w:val="000000"/>
                <w:sz w:val="24"/>
                <w:szCs w:val="22"/>
              </w:rPr>
              <w:t>,</w:t>
            </w:r>
            <w:r>
              <w:rPr>
                <w:rFonts w:ascii="Calibri" w:eastAsia="Malgun Gothic" w:hAnsi="Calibri" w:cs="Calibri"/>
                <w:b/>
                <w:bCs/>
                <w:color w:val="000000"/>
                <w:sz w:val="24"/>
                <w:szCs w:val="22"/>
              </w:rPr>
              <w:t>633</w:t>
            </w:r>
          </w:p>
          <w:p w:rsidR="00D812C1" w:rsidRPr="000A272F" w:rsidRDefault="00D812C1" w:rsidP="00D812C1">
            <w:pPr>
              <w:jc w:val="right"/>
              <w:rPr>
                <w:rFonts w:ascii="Calibri" w:eastAsia="Malgun Gothic" w:hAnsi="Calibri" w:cs="Calibri"/>
                <w:b/>
                <w:bCs/>
                <w:color w:val="000000"/>
                <w:sz w:val="24"/>
                <w:szCs w:val="22"/>
              </w:rPr>
            </w:pPr>
            <w:r w:rsidRPr="000A272F">
              <w:rPr>
                <w:rFonts w:ascii="Calibri" w:eastAsia="Malgun Gothic" w:hAnsi="Calibri" w:cs="Calibri"/>
                <w:b/>
                <w:bCs/>
                <w:color w:val="000000"/>
                <w:sz w:val="24"/>
                <w:szCs w:val="22"/>
              </w:rPr>
              <w:t>(100%)</w:t>
            </w:r>
          </w:p>
        </w:tc>
      </w:tr>
    </w:tbl>
    <w:p w:rsidR="00566641" w:rsidRPr="000A272F" w:rsidRDefault="00264930" w:rsidP="00866E65">
      <w:pPr>
        <w:spacing w:line="276" w:lineRule="auto"/>
        <w:rPr>
          <w:rFonts w:ascii="Calibri" w:eastAsiaTheme="minorEastAsia" w:hAnsi="Calibri" w:cs="Calibri"/>
          <w:kern w:val="2"/>
          <w:sz w:val="22"/>
          <w:szCs w:val="22"/>
        </w:rPr>
      </w:pPr>
      <w:r w:rsidRPr="000A272F">
        <w:rPr>
          <w:rFonts w:ascii="Calibri" w:hAnsi="Calibri" w:cs="Calibri"/>
          <w:sz w:val="22"/>
        </w:rPr>
        <w:t xml:space="preserve">                                                  </w:t>
      </w:r>
      <w:r w:rsidR="000A272F" w:rsidRPr="000A272F">
        <w:rPr>
          <w:rFonts w:ascii="Calibri" w:hAnsi="Calibri" w:cs="Calibri"/>
          <w:sz w:val="22"/>
        </w:rPr>
        <w:t xml:space="preserve">        </w:t>
      </w:r>
      <w:r w:rsidRPr="000A272F">
        <w:rPr>
          <w:rFonts w:ascii="Calibri" w:hAnsi="Calibri" w:cs="Calibri"/>
          <w:sz w:val="22"/>
          <w:szCs w:val="22"/>
        </w:rPr>
        <w:t xml:space="preserve">Source: </w:t>
      </w:r>
      <w:proofErr w:type="spellStart"/>
      <w:r w:rsidR="000A272F" w:rsidRPr="000A272F">
        <w:rPr>
          <w:rFonts w:ascii="Calibri" w:hAnsi="Calibri" w:cs="Calibri"/>
          <w:sz w:val="22"/>
          <w:szCs w:val="22"/>
        </w:rPr>
        <w:t>Clarksons</w:t>
      </w:r>
      <w:proofErr w:type="spellEnd"/>
      <w:r w:rsidR="000A272F" w:rsidRPr="000A272F">
        <w:rPr>
          <w:rFonts w:ascii="Calibri" w:hAnsi="Calibri" w:cs="Calibri"/>
          <w:sz w:val="22"/>
          <w:szCs w:val="22"/>
        </w:rPr>
        <w:t xml:space="preserve"> Database</w:t>
      </w:r>
      <w:r w:rsidR="00566641" w:rsidRPr="000A272F">
        <w:rPr>
          <w:rFonts w:ascii="Calibri" w:hAnsi="Calibri" w:cs="Calibri"/>
          <w:sz w:val="22"/>
          <w:szCs w:val="22"/>
        </w:rPr>
        <w:fldChar w:fldCharType="begin"/>
      </w:r>
      <w:r w:rsidR="00566641" w:rsidRPr="000A272F">
        <w:rPr>
          <w:rFonts w:ascii="Calibri" w:hAnsi="Calibri" w:cs="Calibri"/>
          <w:sz w:val="22"/>
          <w:szCs w:val="22"/>
        </w:rPr>
        <w:instrText xml:space="preserve"> LINK </w:instrText>
      </w:r>
      <w:r w:rsidR="00261CCC" w:rsidRPr="000A272F">
        <w:rPr>
          <w:rFonts w:ascii="Calibri" w:hAnsi="Calibri" w:cs="Calibri"/>
          <w:sz w:val="22"/>
          <w:szCs w:val="22"/>
        </w:rPr>
        <w:instrText xml:space="preserve">Excel.Sheet.12 "C:\\Users\\user\\Desktop\\Country Report 2018.xlsx" Sheet1!R7C14:R13C20 </w:instrText>
      </w:r>
      <w:r w:rsidR="00566641" w:rsidRPr="000A272F">
        <w:rPr>
          <w:rFonts w:ascii="Calibri" w:hAnsi="Calibri" w:cs="Calibri"/>
          <w:sz w:val="22"/>
          <w:szCs w:val="22"/>
        </w:rPr>
        <w:instrText xml:space="preserve">\a \f 4 \h  \* MERGEFORMAT </w:instrText>
      </w:r>
      <w:r w:rsidR="00566641" w:rsidRPr="000A272F">
        <w:rPr>
          <w:rFonts w:ascii="Calibri" w:hAnsi="Calibri" w:cs="Calibri"/>
          <w:sz w:val="22"/>
          <w:szCs w:val="22"/>
        </w:rPr>
        <w:fldChar w:fldCharType="separate"/>
      </w:r>
    </w:p>
    <w:p w:rsidR="00D812C1" w:rsidRDefault="00566641" w:rsidP="0046109E">
      <w:pPr>
        <w:spacing w:line="276" w:lineRule="auto"/>
        <w:rPr>
          <w:rFonts w:ascii="Calibri" w:eastAsiaTheme="minorEastAsia" w:hAnsi="Calibri" w:cs="Calibri"/>
          <w:sz w:val="28"/>
          <w:szCs w:val="24"/>
        </w:rPr>
      </w:pPr>
      <w:r w:rsidRPr="000A272F">
        <w:rPr>
          <w:rFonts w:ascii="Calibri" w:eastAsiaTheme="minorEastAsia" w:hAnsi="Calibri" w:cs="Calibri"/>
          <w:sz w:val="28"/>
          <w:szCs w:val="24"/>
        </w:rPr>
        <w:fldChar w:fldCharType="end"/>
      </w:r>
    </w:p>
    <w:p w:rsidR="00E876F1" w:rsidRDefault="00E876F1" w:rsidP="0046109E">
      <w:pPr>
        <w:spacing w:line="276" w:lineRule="auto"/>
        <w:rPr>
          <w:rFonts w:ascii="Calibri" w:eastAsiaTheme="minorEastAsia" w:hAnsi="Calibri" w:cs="Calibri"/>
          <w:sz w:val="28"/>
          <w:szCs w:val="24"/>
        </w:rPr>
      </w:pPr>
    </w:p>
    <w:p w:rsidR="009B4E98" w:rsidRDefault="00030782" w:rsidP="00030782">
      <w:pPr>
        <w:spacing w:line="276" w:lineRule="auto"/>
        <w:ind w:firstLineChars="200" w:firstLine="420"/>
        <w:rPr>
          <w:rFonts w:ascii="Calibri" w:eastAsiaTheme="minorEastAsia" w:hAnsi="Calibri" w:cs="Calibri"/>
          <w:sz w:val="28"/>
          <w:szCs w:val="24"/>
        </w:rPr>
      </w:pPr>
      <w:r>
        <w:rPr>
          <w:noProof/>
          <w:lang w:eastAsia="zh-TW"/>
        </w:rPr>
        <w:drawing>
          <wp:inline distT="0" distB="0" distL="0" distR="0" wp14:anchorId="4B9C768E" wp14:editId="71BBF1A3">
            <wp:extent cx="5210175" cy="2314575"/>
            <wp:effectExtent l="0" t="0" r="9525" b="9525"/>
            <wp:docPr id="4" name="차트 4">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CF208F0-1B5B-4B14-963A-92D26B5BDDA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30782" w:rsidRDefault="00030782" w:rsidP="00030782">
      <w:pPr>
        <w:spacing w:line="276" w:lineRule="auto"/>
        <w:ind w:firstLineChars="2500" w:firstLine="5500"/>
        <w:rPr>
          <w:rFonts w:ascii="Calibri" w:hAnsi="Calibri" w:cs="Calibri"/>
          <w:sz w:val="22"/>
          <w:szCs w:val="22"/>
        </w:rPr>
      </w:pPr>
      <w:r>
        <w:rPr>
          <w:rFonts w:ascii="Calibri" w:hAnsi="Calibri" w:cs="Calibri"/>
          <w:sz w:val="22"/>
          <w:szCs w:val="22"/>
        </w:rPr>
        <w:t xml:space="preserve">Data </w:t>
      </w:r>
      <w:r w:rsidRPr="000A272F">
        <w:rPr>
          <w:rFonts w:ascii="Calibri" w:hAnsi="Calibri" w:cs="Calibri"/>
          <w:sz w:val="22"/>
          <w:szCs w:val="22"/>
        </w:rPr>
        <w:t xml:space="preserve">Source: </w:t>
      </w:r>
      <w:proofErr w:type="spellStart"/>
      <w:r w:rsidRPr="000A272F">
        <w:rPr>
          <w:rFonts w:ascii="Calibri" w:hAnsi="Calibri" w:cs="Calibri"/>
          <w:sz w:val="22"/>
          <w:szCs w:val="22"/>
        </w:rPr>
        <w:t>Clarksons</w:t>
      </w:r>
      <w:proofErr w:type="spellEnd"/>
      <w:r w:rsidRPr="000A272F">
        <w:rPr>
          <w:rFonts w:ascii="Calibri" w:hAnsi="Calibri" w:cs="Calibri"/>
          <w:sz w:val="22"/>
          <w:szCs w:val="22"/>
        </w:rPr>
        <w:t xml:space="preserve"> Database</w:t>
      </w:r>
    </w:p>
    <w:p w:rsidR="00030782" w:rsidRDefault="00030782" w:rsidP="00030782">
      <w:pPr>
        <w:spacing w:line="276" w:lineRule="auto"/>
        <w:ind w:firstLineChars="200" w:firstLine="560"/>
        <w:rPr>
          <w:rFonts w:ascii="Calibri" w:eastAsiaTheme="minorEastAsia" w:hAnsi="Calibri" w:cs="Calibri"/>
          <w:sz w:val="28"/>
          <w:szCs w:val="24"/>
        </w:rPr>
      </w:pPr>
    </w:p>
    <w:p w:rsidR="0078496F" w:rsidRPr="000A272F" w:rsidRDefault="0078496F" w:rsidP="0078496F">
      <w:pPr>
        <w:spacing w:line="276" w:lineRule="auto"/>
        <w:ind w:firstLineChars="2400" w:firstLine="6720"/>
        <w:rPr>
          <w:rFonts w:ascii="Calibri" w:eastAsiaTheme="minorEastAsia" w:hAnsi="Calibri" w:cs="Calibri"/>
          <w:sz w:val="28"/>
          <w:szCs w:val="24"/>
        </w:rPr>
      </w:pPr>
    </w:p>
    <w:p w:rsidR="008A16F9" w:rsidRDefault="008A16F9" w:rsidP="0046109E">
      <w:pPr>
        <w:spacing w:line="276" w:lineRule="auto"/>
        <w:rPr>
          <w:rFonts w:ascii="Calibri" w:eastAsiaTheme="minorEastAsia" w:hAnsi="Calibri" w:cs="Calibri"/>
          <w:sz w:val="24"/>
          <w:szCs w:val="24"/>
        </w:rPr>
      </w:pPr>
    </w:p>
    <w:p w:rsidR="008A16F9" w:rsidRDefault="00030262" w:rsidP="0046109E">
      <w:pPr>
        <w:spacing w:line="276" w:lineRule="auto"/>
        <w:rPr>
          <w:rFonts w:ascii="Calibri" w:eastAsiaTheme="minorEastAsia" w:hAnsi="Calibri" w:cs="Calibri"/>
          <w:sz w:val="24"/>
          <w:szCs w:val="24"/>
        </w:rPr>
      </w:pPr>
      <w:r w:rsidRPr="000A272F">
        <w:rPr>
          <w:rFonts w:ascii="Calibri" w:eastAsiaTheme="minorEastAsia" w:hAnsi="Calibri" w:cs="Calibri"/>
          <w:sz w:val="24"/>
          <w:szCs w:val="24"/>
        </w:rPr>
        <w:t>There were some changes of ship recycling trend in Korean shipping industry in 2018. The majority vessels scrapped in 2016 and 2017 were bulk carriers</w:t>
      </w:r>
      <w:r w:rsidR="00445C83">
        <w:rPr>
          <w:rFonts w:ascii="Calibri" w:eastAsiaTheme="minorEastAsia" w:hAnsi="Calibri" w:cs="Calibri"/>
          <w:sz w:val="24"/>
          <w:szCs w:val="24"/>
        </w:rPr>
        <w:t>, accounting for 94% in 2016 and 72% in 2017 respectively</w:t>
      </w:r>
      <w:r w:rsidRPr="000A272F">
        <w:rPr>
          <w:rFonts w:ascii="Calibri" w:eastAsiaTheme="minorEastAsia" w:hAnsi="Calibri" w:cs="Calibri"/>
          <w:sz w:val="24"/>
          <w:szCs w:val="24"/>
        </w:rPr>
        <w:t>, whereas the most tonnage demolished in 2018 was tankers</w:t>
      </w:r>
      <w:r w:rsidR="001712E5" w:rsidRPr="000A272F">
        <w:rPr>
          <w:rFonts w:ascii="Calibri" w:eastAsiaTheme="minorEastAsia" w:hAnsi="Calibri" w:cs="Calibri"/>
          <w:sz w:val="24"/>
          <w:szCs w:val="24"/>
        </w:rPr>
        <w:t xml:space="preserve"> (</w:t>
      </w:r>
      <w:r w:rsidR="00A83DB1">
        <w:rPr>
          <w:rFonts w:ascii="Calibri" w:eastAsiaTheme="minorEastAsia" w:hAnsi="Calibri" w:cs="Calibri"/>
          <w:sz w:val="24"/>
          <w:szCs w:val="24"/>
        </w:rPr>
        <w:t>55</w:t>
      </w:r>
      <w:r w:rsidR="001712E5" w:rsidRPr="000A272F">
        <w:rPr>
          <w:rFonts w:ascii="Calibri" w:eastAsiaTheme="minorEastAsia" w:hAnsi="Calibri" w:cs="Calibri"/>
          <w:sz w:val="24"/>
          <w:szCs w:val="24"/>
        </w:rPr>
        <w:t>%), followed by bulkers (</w:t>
      </w:r>
      <w:r w:rsidR="00A83DB1">
        <w:rPr>
          <w:rFonts w:ascii="Calibri" w:eastAsiaTheme="minorEastAsia" w:hAnsi="Calibri" w:cs="Calibri"/>
          <w:sz w:val="24"/>
          <w:szCs w:val="24"/>
        </w:rPr>
        <w:t>41</w:t>
      </w:r>
      <w:r w:rsidR="001712E5" w:rsidRPr="000A272F">
        <w:rPr>
          <w:rFonts w:ascii="Calibri" w:eastAsiaTheme="minorEastAsia" w:hAnsi="Calibri" w:cs="Calibri"/>
          <w:sz w:val="24"/>
          <w:szCs w:val="24"/>
        </w:rPr>
        <w:t>%)</w:t>
      </w:r>
      <w:r w:rsidRPr="000A272F">
        <w:rPr>
          <w:rFonts w:ascii="Calibri" w:eastAsiaTheme="minorEastAsia" w:hAnsi="Calibri" w:cs="Calibri"/>
          <w:sz w:val="24"/>
          <w:szCs w:val="24"/>
        </w:rPr>
        <w:t>.</w:t>
      </w:r>
      <w:r w:rsidR="001712E5" w:rsidRPr="000A272F">
        <w:rPr>
          <w:rFonts w:ascii="Calibri" w:eastAsiaTheme="minorEastAsia" w:hAnsi="Calibri" w:cs="Calibri"/>
          <w:sz w:val="24"/>
          <w:szCs w:val="24"/>
        </w:rPr>
        <w:t xml:space="preserve"> </w:t>
      </w:r>
    </w:p>
    <w:p w:rsidR="008A16F9" w:rsidRDefault="008A16F9" w:rsidP="0046109E">
      <w:pPr>
        <w:spacing w:line="276" w:lineRule="auto"/>
        <w:rPr>
          <w:rFonts w:ascii="Calibri" w:eastAsiaTheme="minorEastAsia" w:hAnsi="Calibri" w:cs="Calibri"/>
          <w:sz w:val="24"/>
          <w:szCs w:val="24"/>
        </w:rPr>
      </w:pPr>
    </w:p>
    <w:p w:rsidR="001712E5" w:rsidRDefault="0016169D" w:rsidP="0046109E">
      <w:pPr>
        <w:spacing w:line="276" w:lineRule="auto"/>
        <w:rPr>
          <w:rFonts w:ascii="Calibri" w:eastAsiaTheme="minorEastAsia" w:hAnsi="Calibri" w:cs="Calibri"/>
          <w:sz w:val="24"/>
          <w:szCs w:val="24"/>
        </w:rPr>
      </w:pPr>
      <w:r>
        <w:rPr>
          <w:rFonts w:ascii="Calibri" w:eastAsiaTheme="minorEastAsia" w:hAnsi="Calibri" w:cs="Calibri"/>
          <w:sz w:val="24"/>
          <w:szCs w:val="24"/>
        </w:rPr>
        <w:t xml:space="preserve">Actually, this </w:t>
      </w:r>
      <w:r w:rsidR="00F57E92">
        <w:rPr>
          <w:rFonts w:ascii="Calibri" w:eastAsiaTheme="minorEastAsia" w:hAnsi="Calibri" w:cs="Calibri"/>
          <w:sz w:val="24"/>
          <w:szCs w:val="24"/>
        </w:rPr>
        <w:t xml:space="preserve">recycling </w:t>
      </w:r>
      <w:r>
        <w:rPr>
          <w:rFonts w:ascii="Calibri" w:eastAsiaTheme="minorEastAsia" w:hAnsi="Calibri" w:cs="Calibri"/>
          <w:sz w:val="24"/>
          <w:szCs w:val="24"/>
        </w:rPr>
        <w:t>trend is in line with the world demolishing market trend</w:t>
      </w:r>
      <w:r w:rsidR="00F57E92">
        <w:rPr>
          <w:rFonts w:ascii="Calibri" w:eastAsiaTheme="minorEastAsia" w:hAnsi="Calibri" w:cs="Calibri"/>
          <w:sz w:val="24"/>
          <w:szCs w:val="24"/>
        </w:rPr>
        <w:t xml:space="preserve"> as below. </w:t>
      </w:r>
      <w:r w:rsidR="00445C83">
        <w:rPr>
          <w:rFonts w:ascii="Calibri" w:eastAsiaTheme="minorEastAsia" w:hAnsi="Calibri" w:cs="Calibri"/>
          <w:sz w:val="24"/>
          <w:szCs w:val="24"/>
        </w:rPr>
        <w:t xml:space="preserve">Since 2017, the volume of tanker </w:t>
      </w:r>
      <w:r w:rsidR="001C3E5B">
        <w:rPr>
          <w:rFonts w:ascii="Calibri" w:eastAsiaTheme="minorEastAsia" w:hAnsi="Calibri" w:cs="Calibri"/>
          <w:sz w:val="24"/>
          <w:szCs w:val="24"/>
        </w:rPr>
        <w:t xml:space="preserve">vessel </w:t>
      </w:r>
      <w:r w:rsidR="008A16F9">
        <w:rPr>
          <w:rFonts w:ascii="Calibri" w:eastAsiaTheme="minorEastAsia" w:hAnsi="Calibri" w:cs="Calibri"/>
          <w:sz w:val="24"/>
          <w:szCs w:val="24"/>
        </w:rPr>
        <w:t>scrapped</w:t>
      </w:r>
      <w:r w:rsidR="00445C83">
        <w:rPr>
          <w:rFonts w:ascii="Calibri" w:eastAsiaTheme="minorEastAsia" w:hAnsi="Calibri" w:cs="Calibri"/>
          <w:sz w:val="24"/>
          <w:szCs w:val="24"/>
        </w:rPr>
        <w:t xml:space="preserve"> increased and the largest number of vessels recycled in 2018 was tankers.</w:t>
      </w:r>
      <w:r w:rsidR="0061323A">
        <w:rPr>
          <w:rFonts w:ascii="Calibri" w:eastAsiaTheme="minorEastAsia" w:hAnsi="Calibri" w:cs="Calibri"/>
          <w:sz w:val="24"/>
          <w:szCs w:val="24"/>
        </w:rPr>
        <w:t xml:space="preserve"> This is perhaps due to the low freight</w:t>
      </w:r>
      <w:r w:rsidR="001C3E5B">
        <w:rPr>
          <w:rFonts w:ascii="Calibri" w:eastAsiaTheme="minorEastAsia" w:hAnsi="Calibri" w:cs="Calibri"/>
          <w:sz w:val="24"/>
          <w:szCs w:val="24"/>
        </w:rPr>
        <w:t xml:space="preserve"> level</w:t>
      </w:r>
      <w:r w:rsidR="0061323A">
        <w:rPr>
          <w:rFonts w:ascii="Calibri" w:eastAsiaTheme="minorEastAsia" w:hAnsi="Calibri" w:cs="Calibri"/>
          <w:sz w:val="24"/>
          <w:szCs w:val="24"/>
        </w:rPr>
        <w:t xml:space="preserve"> in the tanker market until early 2018.</w:t>
      </w:r>
    </w:p>
    <w:p w:rsidR="00E876F1" w:rsidRDefault="00E876F1" w:rsidP="0046109E">
      <w:pPr>
        <w:spacing w:line="276" w:lineRule="auto"/>
        <w:rPr>
          <w:rFonts w:ascii="Calibri" w:eastAsiaTheme="minorEastAsia" w:hAnsi="Calibri" w:cs="Calibri"/>
          <w:sz w:val="24"/>
          <w:szCs w:val="24"/>
        </w:rPr>
      </w:pPr>
    </w:p>
    <w:p w:rsidR="00F57E92" w:rsidRPr="000A272F" w:rsidRDefault="00F57E92" w:rsidP="00F57E92">
      <w:pPr>
        <w:spacing w:line="276" w:lineRule="auto"/>
        <w:ind w:firstLineChars="650" w:firstLine="1820"/>
        <w:rPr>
          <w:rFonts w:ascii="Calibri" w:eastAsiaTheme="minorEastAsia" w:hAnsi="Calibri" w:cs="Calibri"/>
          <w:b/>
          <w:sz w:val="28"/>
          <w:szCs w:val="24"/>
        </w:rPr>
      </w:pPr>
      <w:r w:rsidRPr="000A272F">
        <w:rPr>
          <w:rFonts w:ascii="Calibri" w:eastAsiaTheme="minorEastAsia" w:hAnsi="Calibri" w:cs="Calibri"/>
          <w:b/>
          <w:sz w:val="28"/>
          <w:szCs w:val="24"/>
        </w:rPr>
        <w:lastRenderedPageBreak/>
        <w:t xml:space="preserve">&lt; </w:t>
      </w:r>
      <w:r>
        <w:rPr>
          <w:rFonts w:ascii="Calibri" w:eastAsiaTheme="minorEastAsia" w:hAnsi="Calibri" w:cs="Calibri"/>
          <w:b/>
          <w:sz w:val="28"/>
          <w:szCs w:val="24"/>
        </w:rPr>
        <w:t xml:space="preserve">World </w:t>
      </w:r>
      <w:r w:rsidRPr="000A272F">
        <w:rPr>
          <w:rFonts w:ascii="Calibri" w:eastAsiaTheme="minorEastAsia" w:hAnsi="Calibri" w:cs="Calibri"/>
          <w:b/>
          <w:sz w:val="28"/>
          <w:szCs w:val="24"/>
        </w:rPr>
        <w:t>Demolition Volume by Ship Types</w:t>
      </w:r>
      <w:r w:rsidRPr="000A272F">
        <w:rPr>
          <w:rFonts w:ascii="Calibri" w:hAnsi="Calibri" w:cs="Calibri"/>
          <w:b/>
          <w:sz w:val="28"/>
          <w:szCs w:val="24"/>
        </w:rPr>
        <w:t xml:space="preserve"> &gt;</w:t>
      </w:r>
    </w:p>
    <w:p w:rsidR="00030262" w:rsidRPr="0016169D" w:rsidRDefault="0016169D" w:rsidP="0016169D">
      <w:pPr>
        <w:spacing w:line="276" w:lineRule="auto"/>
        <w:ind w:firstLineChars="200" w:firstLine="440"/>
        <w:rPr>
          <w:rFonts w:ascii="Calibri" w:eastAsiaTheme="minorEastAsia" w:hAnsi="Calibri" w:cs="Calibri"/>
          <w:sz w:val="22"/>
          <w:szCs w:val="22"/>
        </w:rPr>
      </w:pPr>
      <w:r w:rsidRPr="0016169D">
        <w:rPr>
          <w:rFonts w:ascii="Calibri" w:eastAsiaTheme="minorEastAsia" w:hAnsi="Calibri" w:cs="Calibri" w:hint="eastAsia"/>
          <w:sz w:val="22"/>
          <w:szCs w:val="22"/>
        </w:rPr>
        <w:t xml:space="preserve"> </w:t>
      </w:r>
      <w:r w:rsidRPr="0016169D">
        <w:rPr>
          <w:rFonts w:ascii="Calibri" w:eastAsiaTheme="minorEastAsia" w:hAnsi="Calibri" w:cs="Calibri"/>
          <w:sz w:val="22"/>
          <w:szCs w:val="22"/>
        </w:rPr>
        <w:t xml:space="preserve">                                            </w:t>
      </w:r>
      <w:r>
        <w:rPr>
          <w:rFonts w:ascii="Calibri" w:eastAsiaTheme="minorEastAsia" w:hAnsi="Calibri" w:cs="Calibri"/>
          <w:sz w:val="22"/>
          <w:szCs w:val="22"/>
        </w:rPr>
        <w:t xml:space="preserve">      </w:t>
      </w:r>
      <w:r w:rsidRPr="0016169D">
        <w:rPr>
          <w:rFonts w:ascii="Calibri" w:eastAsiaTheme="minorEastAsia" w:hAnsi="Calibri" w:cs="Calibri"/>
          <w:sz w:val="22"/>
          <w:szCs w:val="22"/>
        </w:rPr>
        <w:t xml:space="preserve">      </w:t>
      </w:r>
      <w:r w:rsidR="00F57E92">
        <w:rPr>
          <w:rFonts w:ascii="Calibri" w:eastAsiaTheme="minorEastAsia" w:hAnsi="Calibri" w:cs="Calibri"/>
          <w:sz w:val="22"/>
          <w:szCs w:val="22"/>
        </w:rPr>
        <w:t xml:space="preserve"> </w:t>
      </w:r>
      <w:r w:rsidRPr="0016169D">
        <w:rPr>
          <w:rFonts w:ascii="Calibri" w:eastAsiaTheme="minorEastAsia" w:hAnsi="Calibri" w:cs="Calibri"/>
          <w:sz w:val="22"/>
          <w:szCs w:val="22"/>
        </w:rPr>
        <w:t xml:space="preserve"> Million DWT</w:t>
      </w:r>
    </w:p>
    <w:tbl>
      <w:tblPr>
        <w:tblW w:w="7197" w:type="dxa"/>
        <w:tblInd w:w="908" w:type="dxa"/>
        <w:tblCellMar>
          <w:left w:w="99" w:type="dxa"/>
          <w:right w:w="99" w:type="dxa"/>
        </w:tblCellMar>
        <w:tblLook w:val="04A0" w:firstRow="1" w:lastRow="0" w:firstColumn="1" w:lastColumn="0" w:noHBand="0" w:noVBand="1"/>
      </w:tblPr>
      <w:tblGrid>
        <w:gridCol w:w="1533"/>
        <w:gridCol w:w="1132"/>
        <w:gridCol w:w="1133"/>
        <w:gridCol w:w="1133"/>
        <w:gridCol w:w="1133"/>
        <w:gridCol w:w="1133"/>
      </w:tblGrid>
      <w:tr w:rsidR="00445C83" w:rsidRPr="0016169D" w:rsidTr="00CC645D">
        <w:trPr>
          <w:trHeight w:val="325"/>
        </w:trPr>
        <w:tc>
          <w:tcPr>
            <w:tcW w:w="15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5C83" w:rsidRPr="0016169D" w:rsidRDefault="00445C83" w:rsidP="0016169D">
            <w:pPr>
              <w:rPr>
                <w:rFonts w:ascii="Arial" w:eastAsia="Malgun Gothic" w:hAnsi="Arial" w:cs="Arial"/>
                <w:b/>
                <w:bCs/>
                <w:color w:val="000000"/>
                <w:sz w:val="22"/>
                <w:szCs w:val="22"/>
              </w:rPr>
            </w:pPr>
            <w:r w:rsidRPr="0016169D">
              <w:rPr>
                <w:rFonts w:ascii="Arial" w:eastAsia="Malgun Gothic" w:hAnsi="Arial" w:cs="Arial"/>
                <w:b/>
                <w:bCs/>
                <w:color w:val="000000"/>
                <w:sz w:val="22"/>
                <w:szCs w:val="22"/>
              </w:rPr>
              <w:t xml:space="preserve">　</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445C83" w:rsidRPr="0016169D" w:rsidRDefault="00445C83" w:rsidP="0016169D">
            <w:pPr>
              <w:jc w:val="center"/>
              <w:rPr>
                <w:rFonts w:ascii="Arial" w:eastAsia="Malgun Gothic" w:hAnsi="Arial" w:cs="Arial"/>
                <w:b/>
                <w:bCs/>
                <w:color w:val="000000"/>
                <w:sz w:val="22"/>
                <w:szCs w:val="22"/>
              </w:rPr>
            </w:pPr>
            <w:r w:rsidRPr="0016169D">
              <w:rPr>
                <w:rFonts w:ascii="Arial" w:eastAsia="Malgun Gothic" w:hAnsi="Arial" w:cs="Arial"/>
                <w:b/>
                <w:bCs/>
                <w:color w:val="000000"/>
                <w:sz w:val="22"/>
                <w:szCs w:val="22"/>
              </w:rPr>
              <w:t>2014</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45C83" w:rsidRPr="0016169D" w:rsidRDefault="00445C83" w:rsidP="0016169D">
            <w:pPr>
              <w:jc w:val="center"/>
              <w:rPr>
                <w:rFonts w:ascii="Arial" w:eastAsia="Malgun Gothic" w:hAnsi="Arial" w:cs="Arial"/>
                <w:b/>
                <w:bCs/>
                <w:color w:val="000000"/>
                <w:sz w:val="22"/>
                <w:szCs w:val="22"/>
              </w:rPr>
            </w:pPr>
            <w:r w:rsidRPr="0016169D">
              <w:rPr>
                <w:rFonts w:ascii="Arial" w:eastAsia="Malgun Gothic" w:hAnsi="Arial" w:cs="Arial"/>
                <w:b/>
                <w:bCs/>
                <w:color w:val="000000"/>
                <w:sz w:val="22"/>
                <w:szCs w:val="22"/>
              </w:rPr>
              <w:t>2015</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45C83" w:rsidRPr="0016169D" w:rsidRDefault="00445C83" w:rsidP="0016169D">
            <w:pPr>
              <w:jc w:val="center"/>
              <w:rPr>
                <w:rFonts w:ascii="Arial" w:eastAsia="Malgun Gothic" w:hAnsi="Arial" w:cs="Arial"/>
                <w:b/>
                <w:bCs/>
                <w:color w:val="000000"/>
                <w:sz w:val="22"/>
                <w:szCs w:val="22"/>
              </w:rPr>
            </w:pPr>
            <w:r w:rsidRPr="0016169D">
              <w:rPr>
                <w:rFonts w:ascii="Arial" w:eastAsia="Malgun Gothic" w:hAnsi="Arial" w:cs="Arial"/>
                <w:b/>
                <w:bCs/>
                <w:color w:val="000000"/>
                <w:sz w:val="22"/>
                <w:szCs w:val="22"/>
              </w:rPr>
              <w:t>2016</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45C83" w:rsidRPr="0016169D" w:rsidRDefault="00445C83" w:rsidP="0016169D">
            <w:pPr>
              <w:jc w:val="center"/>
              <w:rPr>
                <w:rFonts w:ascii="Arial" w:eastAsia="Malgun Gothic" w:hAnsi="Arial" w:cs="Arial"/>
                <w:b/>
                <w:bCs/>
                <w:color w:val="000000"/>
                <w:sz w:val="22"/>
                <w:szCs w:val="22"/>
              </w:rPr>
            </w:pPr>
            <w:r w:rsidRPr="0016169D">
              <w:rPr>
                <w:rFonts w:ascii="Arial" w:eastAsia="Malgun Gothic" w:hAnsi="Arial" w:cs="Arial"/>
                <w:b/>
                <w:bCs/>
                <w:color w:val="000000"/>
                <w:sz w:val="22"/>
                <w:szCs w:val="22"/>
              </w:rPr>
              <w:t>2017</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45C83" w:rsidRPr="0016169D" w:rsidRDefault="00445C83" w:rsidP="00CC645D">
            <w:pPr>
              <w:jc w:val="center"/>
              <w:rPr>
                <w:rFonts w:ascii="Arial" w:eastAsia="Malgun Gothic" w:hAnsi="Arial" w:cs="Arial"/>
                <w:b/>
                <w:bCs/>
                <w:color w:val="000000"/>
                <w:sz w:val="22"/>
                <w:szCs w:val="22"/>
              </w:rPr>
            </w:pPr>
            <w:r w:rsidRPr="0016169D">
              <w:rPr>
                <w:rFonts w:ascii="Arial" w:eastAsia="Malgun Gothic" w:hAnsi="Arial" w:cs="Arial"/>
                <w:b/>
                <w:bCs/>
                <w:color w:val="000000"/>
                <w:sz w:val="22"/>
                <w:szCs w:val="22"/>
              </w:rPr>
              <w:t>2018</w:t>
            </w:r>
          </w:p>
        </w:tc>
      </w:tr>
      <w:tr w:rsidR="00445C83" w:rsidRPr="0016169D" w:rsidTr="00CC645D">
        <w:trPr>
          <w:trHeight w:val="325"/>
        </w:trPr>
        <w:tc>
          <w:tcPr>
            <w:tcW w:w="1533" w:type="dxa"/>
            <w:tcBorders>
              <w:top w:val="nil"/>
              <w:left w:val="single" w:sz="4" w:space="0" w:color="auto"/>
              <w:bottom w:val="single" w:sz="4" w:space="0" w:color="auto"/>
              <w:right w:val="single" w:sz="4" w:space="0" w:color="auto"/>
            </w:tcBorders>
            <w:shd w:val="clear" w:color="000000" w:fill="D3DFEE"/>
            <w:vAlign w:val="center"/>
            <w:hideMark/>
          </w:tcPr>
          <w:p w:rsidR="00445C83" w:rsidRPr="0016169D" w:rsidRDefault="00445C83" w:rsidP="0016169D">
            <w:pPr>
              <w:rPr>
                <w:rFonts w:ascii="Arial" w:eastAsia="Malgun Gothic" w:hAnsi="Arial" w:cs="Arial"/>
                <w:b/>
                <w:bCs/>
                <w:color w:val="000000"/>
                <w:sz w:val="22"/>
                <w:szCs w:val="22"/>
              </w:rPr>
            </w:pPr>
            <w:r w:rsidRPr="0016169D">
              <w:rPr>
                <w:rFonts w:ascii="Arial" w:eastAsia="Malgun Gothic" w:hAnsi="Arial" w:cs="Arial"/>
                <w:b/>
                <w:bCs/>
                <w:color w:val="000000"/>
                <w:sz w:val="22"/>
                <w:szCs w:val="22"/>
              </w:rPr>
              <w:t>Bulker</w:t>
            </w:r>
          </w:p>
        </w:tc>
        <w:tc>
          <w:tcPr>
            <w:tcW w:w="1132" w:type="dxa"/>
            <w:tcBorders>
              <w:top w:val="nil"/>
              <w:left w:val="nil"/>
              <w:bottom w:val="single" w:sz="4" w:space="0" w:color="auto"/>
              <w:right w:val="single" w:sz="4" w:space="0" w:color="auto"/>
            </w:tcBorders>
            <w:shd w:val="clear" w:color="000000" w:fill="D3DFEE"/>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16.4</w:t>
            </w:r>
          </w:p>
        </w:tc>
        <w:tc>
          <w:tcPr>
            <w:tcW w:w="1133" w:type="dxa"/>
            <w:tcBorders>
              <w:top w:val="nil"/>
              <w:left w:val="nil"/>
              <w:bottom w:val="single" w:sz="4" w:space="0" w:color="auto"/>
              <w:right w:val="single" w:sz="4" w:space="0" w:color="auto"/>
            </w:tcBorders>
            <w:shd w:val="clear" w:color="000000" w:fill="D3DFEE"/>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30.7</w:t>
            </w:r>
          </w:p>
        </w:tc>
        <w:tc>
          <w:tcPr>
            <w:tcW w:w="1133" w:type="dxa"/>
            <w:tcBorders>
              <w:top w:val="nil"/>
              <w:left w:val="nil"/>
              <w:bottom w:val="single" w:sz="4" w:space="0" w:color="auto"/>
              <w:right w:val="single" w:sz="4" w:space="0" w:color="auto"/>
            </w:tcBorders>
            <w:shd w:val="clear" w:color="000000" w:fill="D3DFEE"/>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29.3</w:t>
            </w:r>
          </w:p>
        </w:tc>
        <w:tc>
          <w:tcPr>
            <w:tcW w:w="1133" w:type="dxa"/>
            <w:tcBorders>
              <w:top w:val="nil"/>
              <w:left w:val="nil"/>
              <w:bottom w:val="single" w:sz="4" w:space="0" w:color="auto"/>
              <w:right w:val="single" w:sz="4" w:space="0" w:color="auto"/>
            </w:tcBorders>
            <w:shd w:val="clear" w:color="000000" w:fill="D3DFEE"/>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14.7</w:t>
            </w:r>
          </w:p>
        </w:tc>
        <w:tc>
          <w:tcPr>
            <w:tcW w:w="1133" w:type="dxa"/>
            <w:tcBorders>
              <w:top w:val="nil"/>
              <w:left w:val="nil"/>
              <w:bottom w:val="single" w:sz="4" w:space="0" w:color="auto"/>
              <w:right w:val="single" w:sz="4" w:space="0" w:color="auto"/>
            </w:tcBorders>
            <w:shd w:val="clear" w:color="000000" w:fill="D3DFEE"/>
            <w:vAlign w:val="center"/>
            <w:hideMark/>
          </w:tcPr>
          <w:p w:rsidR="00445C83" w:rsidRPr="0016169D" w:rsidRDefault="00CC645D" w:rsidP="0016169D">
            <w:pPr>
              <w:jc w:val="right"/>
              <w:rPr>
                <w:rFonts w:ascii="Arial" w:eastAsia="Malgun Gothic" w:hAnsi="Arial" w:cs="Arial"/>
                <w:color w:val="000000"/>
                <w:sz w:val="22"/>
                <w:szCs w:val="22"/>
              </w:rPr>
            </w:pPr>
            <w:r>
              <w:rPr>
                <w:rFonts w:ascii="Arial" w:eastAsia="Malgun Gothic" w:hAnsi="Arial" w:cs="Arial" w:hint="eastAsia"/>
                <w:color w:val="000000"/>
                <w:sz w:val="22"/>
                <w:szCs w:val="22"/>
              </w:rPr>
              <w:t>4</w:t>
            </w:r>
            <w:r>
              <w:rPr>
                <w:rFonts w:ascii="Arial" w:eastAsia="Malgun Gothic" w:hAnsi="Arial" w:cs="Arial"/>
                <w:color w:val="000000"/>
                <w:sz w:val="22"/>
                <w:szCs w:val="22"/>
              </w:rPr>
              <w:t>.4</w:t>
            </w:r>
          </w:p>
        </w:tc>
      </w:tr>
      <w:tr w:rsidR="00445C83" w:rsidRPr="0016169D" w:rsidTr="00CC645D">
        <w:trPr>
          <w:trHeight w:val="325"/>
        </w:trPr>
        <w:tc>
          <w:tcPr>
            <w:tcW w:w="1533" w:type="dxa"/>
            <w:tcBorders>
              <w:top w:val="nil"/>
              <w:left w:val="single" w:sz="4" w:space="0" w:color="auto"/>
              <w:bottom w:val="single" w:sz="4" w:space="0" w:color="auto"/>
              <w:right w:val="single" w:sz="4" w:space="0" w:color="auto"/>
            </w:tcBorders>
            <w:shd w:val="clear" w:color="auto" w:fill="auto"/>
            <w:vAlign w:val="center"/>
            <w:hideMark/>
          </w:tcPr>
          <w:p w:rsidR="00445C83" w:rsidRPr="0016169D" w:rsidRDefault="00445C83" w:rsidP="0016169D">
            <w:pPr>
              <w:rPr>
                <w:rFonts w:ascii="Arial" w:eastAsia="Malgun Gothic" w:hAnsi="Arial" w:cs="Arial"/>
                <w:b/>
                <w:bCs/>
                <w:color w:val="000000"/>
                <w:sz w:val="22"/>
                <w:szCs w:val="22"/>
              </w:rPr>
            </w:pPr>
            <w:r w:rsidRPr="0016169D">
              <w:rPr>
                <w:rFonts w:ascii="Arial" w:eastAsia="Malgun Gothic" w:hAnsi="Arial" w:cs="Arial"/>
                <w:b/>
                <w:bCs/>
                <w:color w:val="000000"/>
                <w:sz w:val="22"/>
                <w:szCs w:val="22"/>
              </w:rPr>
              <w:t>Container</w:t>
            </w:r>
          </w:p>
        </w:tc>
        <w:tc>
          <w:tcPr>
            <w:tcW w:w="1132" w:type="dxa"/>
            <w:tcBorders>
              <w:top w:val="nil"/>
              <w:left w:val="nil"/>
              <w:bottom w:val="single" w:sz="4" w:space="0" w:color="auto"/>
              <w:right w:val="single" w:sz="4" w:space="0" w:color="auto"/>
            </w:tcBorders>
            <w:shd w:val="clear" w:color="auto" w:fill="auto"/>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5.3</w:t>
            </w:r>
          </w:p>
        </w:tc>
        <w:tc>
          <w:tcPr>
            <w:tcW w:w="1133" w:type="dxa"/>
            <w:tcBorders>
              <w:top w:val="nil"/>
              <w:left w:val="nil"/>
              <w:bottom w:val="single" w:sz="4" w:space="0" w:color="auto"/>
              <w:right w:val="single" w:sz="4" w:space="0" w:color="auto"/>
            </w:tcBorders>
            <w:shd w:val="clear" w:color="auto" w:fill="auto"/>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2.9</w:t>
            </w:r>
          </w:p>
        </w:tc>
        <w:tc>
          <w:tcPr>
            <w:tcW w:w="1133" w:type="dxa"/>
            <w:tcBorders>
              <w:top w:val="nil"/>
              <w:left w:val="nil"/>
              <w:bottom w:val="single" w:sz="4" w:space="0" w:color="auto"/>
              <w:right w:val="single" w:sz="4" w:space="0" w:color="auto"/>
            </w:tcBorders>
            <w:shd w:val="clear" w:color="auto" w:fill="auto"/>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8.7</w:t>
            </w:r>
          </w:p>
        </w:tc>
        <w:tc>
          <w:tcPr>
            <w:tcW w:w="1133" w:type="dxa"/>
            <w:tcBorders>
              <w:top w:val="nil"/>
              <w:left w:val="nil"/>
              <w:bottom w:val="single" w:sz="4" w:space="0" w:color="auto"/>
              <w:right w:val="single" w:sz="4" w:space="0" w:color="auto"/>
            </w:tcBorders>
            <w:shd w:val="clear" w:color="auto" w:fill="auto"/>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5.3</w:t>
            </w:r>
          </w:p>
        </w:tc>
        <w:tc>
          <w:tcPr>
            <w:tcW w:w="1133" w:type="dxa"/>
            <w:tcBorders>
              <w:top w:val="nil"/>
              <w:left w:val="nil"/>
              <w:bottom w:val="single" w:sz="4" w:space="0" w:color="auto"/>
              <w:right w:val="single" w:sz="4" w:space="0" w:color="auto"/>
            </w:tcBorders>
            <w:shd w:val="clear" w:color="auto" w:fill="auto"/>
            <w:vAlign w:val="center"/>
            <w:hideMark/>
          </w:tcPr>
          <w:p w:rsidR="00445C83" w:rsidRPr="0016169D" w:rsidRDefault="00CC645D" w:rsidP="0016169D">
            <w:pPr>
              <w:jc w:val="right"/>
              <w:rPr>
                <w:rFonts w:ascii="Arial" w:eastAsia="Malgun Gothic" w:hAnsi="Arial" w:cs="Arial"/>
                <w:color w:val="000000"/>
                <w:sz w:val="22"/>
                <w:szCs w:val="22"/>
              </w:rPr>
            </w:pPr>
            <w:r>
              <w:rPr>
                <w:rFonts w:ascii="Arial" w:eastAsia="Malgun Gothic" w:hAnsi="Arial" w:cs="Arial" w:hint="eastAsia"/>
                <w:color w:val="000000"/>
                <w:sz w:val="22"/>
                <w:szCs w:val="22"/>
              </w:rPr>
              <w:t>1</w:t>
            </w:r>
            <w:r>
              <w:rPr>
                <w:rFonts w:ascii="Arial" w:eastAsia="Malgun Gothic" w:hAnsi="Arial" w:cs="Arial"/>
                <w:color w:val="000000"/>
                <w:sz w:val="22"/>
                <w:szCs w:val="22"/>
              </w:rPr>
              <w:t>.5</w:t>
            </w:r>
          </w:p>
        </w:tc>
      </w:tr>
      <w:tr w:rsidR="00445C83" w:rsidRPr="0016169D" w:rsidTr="00CC645D">
        <w:trPr>
          <w:trHeight w:val="325"/>
        </w:trPr>
        <w:tc>
          <w:tcPr>
            <w:tcW w:w="1533" w:type="dxa"/>
            <w:tcBorders>
              <w:top w:val="nil"/>
              <w:left w:val="single" w:sz="4" w:space="0" w:color="auto"/>
              <w:bottom w:val="single" w:sz="4" w:space="0" w:color="auto"/>
              <w:right w:val="single" w:sz="4" w:space="0" w:color="auto"/>
            </w:tcBorders>
            <w:shd w:val="clear" w:color="000000" w:fill="D3DFEE"/>
            <w:vAlign w:val="center"/>
            <w:hideMark/>
          </w:tcPr>
          <w:p w:rsidR="00445C83" w:rsidRPr="0016169D" w:rsidRDefault="00445C83" w:rsidP="0016169D">
            <w:pPr>
              <w:rPr>
                <w:rFonts w:ascii="Arial" w:eastAsia="Malgun Gothic" w:hAnsi="Arial" w:cs="Arial"/>
                <w:b/>
                <w:bCs/>
                <w:color w:val="000000"/>
                <w:sz w:val="22"/>
                <w:szCs w:val="22"/>
              </w:rPr>
            </w:pPr>
            <w:r w:rsidRPr="0016169D">
              <w:rPr>
                <w:rFonts w:ascii="Arial" w:eastAsia="Malgun Gothic" w:hAnsi="Arial" w:cs="Arial"/>
                <w:b/>
                <w:bCs/>
                <w:color w:val="000000"/>
                <w:sz w:val="22"/>
                <w:szCs w:val="22"/>
              </w:rPr>
              <w:t>Tanker</w:t>
            </w:r>
          </w:p>
        </w:tc>
        <w:tc>
          <w:tcPr>
            <w:tcW w:w="1132" w:type="dxa"/>
            <w:tcBorders>
              <w:top w:val="nil"/>
              <w:left w:val="nil"/>
              <w:bottom w:val="single" w:sz="4" w:space="0" w:color="auto"/>
              <w:right w:val="single" w:sz="4" w:space="0" w:color="auto"/>
            </w:tcBorders>
            <w:shd w:val="clear" w:color="000000" w:fill="D3DFEE"/>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7.8</w:t>
            </w:r>
          </w:p>
        </w:tc>
        <w:tc>
          <w:tcPr>
            <w:tcW w:w="1133" w:type="dxa"/>
            <w:tcBorders>
              <w:top w:val="nil"/>
              <w:left w:val="nil"/>
              <w:bottom w:val="single" w:sz="4" w:space="0" w:color="auto"/>
              <w:right w:val="single" w:sz="4" w:space="0" w:color="auto"/>
            </w:tcBorders>
            <w:shd w:val="clear" w:color="000000" w:fill="D3DFEE"/>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2.4</w:t>
            </w:r>
          </w:p>
        </w:tc>
        <w:tc>
          <w:tcPr>
            <w:tcW w:w="1133" w:type="dxa"/>
            <w:tcBorders>
              <w:top w:val="nil"/>
              <w:left w:val="nil"/>
              <w:bottom w:val="single" w:sz="4" w:space="0" w:color="auto"/>
              <w:right w:val="single" w:sz="4" w:space="0" w:color="auto"/>
            </w:tcBorders>
            <w:shd w:val="clear" w:color="000000" w:fill="D3DFEE"/>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2.5</w:t>
            </w:r>
          </w:p>
        </w:tc>
        <w:tc>
          <w:tcPr>
            <w:tcW w:w="1133" w:type="dxa"/>
            <w:tcBorders>
              <w:top w:val="nil"/>
              <w:left w:val="nil"/>
              <w:bottom w:val="single" w:sz="4" w:space="0" w:color="auto"/>
              <w:right w:val="single" w:sz="4" w:space="0" w:color="auto"/>
            </w:tcBorders>
            <w:shd w:val="clear" w:color="000000" w:fill="D3DFEE"/>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11.1</w:t>
            </w:r>
          </w:p>
        </w:tc>
        <w:tc>
          <w:tcPr>
            <w:tcW w:w="1133" w:type="dxa"/>
            <w:tcBorders>
              <w:top w:val="nil"/>
              <w:left w:val="nil"/>
              <w:bottom w:val="single" w:sz="4" w:space="0" w:color="auto"/>
              <w:right w:val="single" w:sz="4" w:space="0" w:color="auto"/>
            </w:tcBorders>
            <w:shd w:val="clear" w:color="000000" w:fill="D3DFEE"/>
            <w:vAlign w:val="center"/>
            <w:hideMark/>
          </w:tcPr>
          <w:p w:rsidR="00445C83" w:rsidRPr="0016169D" w:rsidRDefault="00CC645D" w:rsidP="0016169D">
            <w:pPr>
              <w:jc w:val="right"/>
              <w:rPr>
                <w:rFonts w:ascii="Arial" w:eastAsia="Malgun Gothic" w:hAnsi="Arial" w:cs="Arial"/>
                <w:color w:val="000000"/>
                <w:sz w:val="22"/>
                <w:szCs w:val="22"/>
              </w:rPr>
            </w:pPr>
            <w:r>
              <w:rPr>
                <w:rFonts w:ascii="Arial" w:eastAsia="Malgun Gothic" w:hAnsi="Arial" w:cs="Arial" w:hint="eastAsia"/>
                <w:color w:val="000000"/>
                <w:sz w:val="22"/>
                <w:szCs w:val="22"/>
              </w:rPr>
              <w:t>2</w:t>
            </w:r>
            <w:r>
              <w:rPr>
                <w:rFonts w:ascii="Arial" w:eastAsia="Malgun Gothic" w:hAnsi="Arial" w:cs="Arial"/>
                <w:color w:val="000000"/>
                <w:sz w:val="22"/>
                <w:szCs w:val="22"/>
              </w:rPr>
              <w:t>1.1</w:t>
            </w:r>
          </w:p>
        </w:tc>
      </w:tr>
      <w:tr w:rsidR="00445C83" w:rsidRPr="0016169D" w:rsidTr="00CC645D">
        <w:trPr>
          <w:trHeight w:val="325"/>
        </w:trPr>
        <w:tc>
          <w:tcPr>
            <w:tcW w:w="1533" w:type="dxa"/>
            <w:tcBorders>
              <w:top w:val="nil"/>
              <w:left w:val="single" w:sz="4" w:space="0" w:color="auto"/>
              <w:bottom w:val="single" w:sz="4" w:space="0" w:color="auto"/>
              <w:right w:val="single" w:sz="4" w:space="0" w:color="auto"/>
            </w:tcBorders>
            <w:shd w:val="clear" w:color="auto" w:fill="auto"/>
            <w:vAlign w:val="center"/>
            <w:hideMark/>
          </w:tcPr>
          <w:p w:rsidR="00445C83" w:rsidRPr="0016169D" w:rsidRDefault="00445C83" w:rsidP="0016169D">
            <w:pPr>
              <w:rPr>
                <w:rFonts w:ascii="Arial" w:eastAsia="Malgun Gothic" w:hAnsi="Arial" w:cs="Arial"/>
                <w:b/>
                <w:bCs/>
                <w:color w:val="000000"/>
                <w:sz w:val="22"/>
                <w:szCs w:val="22"/>
              </w:rPr>
            </w:pPr>
            <w:r w:rsidRPr="0016169D">
              <w:rPr>
                <w:rFonts w:ascii="Arial" w:eastAsia="Malgun Gothic" w:hAnsi="Arial" w:cs="Arial"/>
                <w:b/>
                <w:bCs/>
                <w:color w:val="000000"/>
                <w:sz w:val="22"/>
                <w:szCs w:val="22"/>
              </w:rPr>
              <w:t>Gas Carrier</w:t>
            </w:r>
          </w:p>
        </w:tc>
        <w:tc>
          <w:tcPr>
            <w:tcW w:w="1132" w:type="dxa"/>
            <w:tcBorders>
              <w:top w:val="nil"/>
              <w:left w:val="nil"/>
              <w:bottom w:val="single" w:sz="4" w:space="0" w:color="auto"/>
              <w:right w:val="single" w:sz="4" w:space="0" w:color="auto"/>
            </w:tcBorders>
            <w:shd w:val="clear" w:color="auto" w:fill="auto"/>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0.3</w:t>
            </w:r>
          </w:p>
        </w:tc>
        <w:tc>
          <w:tcPr>
            <w:tcW w:w="1133" w:type="dxa"/>
            <w:tcBorders>
              <w:top w:val="nil"/>
              <w:left w:val="nil"/>
              <w:bottom w:val="single" w:sz="4" w:space="0" w:color="auto"/>
              <w:right w:val="single" w:sz="4" w:space="0" w:color="auto"/>
            </w:tcBorders>
            <w:shd w:val="clear" w:color="auto" w:fill="auto"/>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0.3</w:t>
            </w:r>
          </w:p>
        </w:tc>
        <w:tc>
          <w:tcPr>
            <w:tcW w:w="1133" w:type="dxa"/>
            <w:tcBorders>
              <w:top w:val="nil"/>
              <w:left w:val="nil"/>
              <w:bottom w:val="single" w:sz="4" w:space="0" w:color="auto"/>
              <w:right w:val="single" w:sz="4" w:space="0" w:color="auto"/>
            </w:tcBorders>
            <w:shd w:val="clear" w:color="auto" w:fill="auto"/>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0.4</w:t>
            </w:r>
          </w:p>
        </w:tc>
        <w:tc>
          <w:tcPr>
            <w:tcW w:w="1133" w:type="dxa"/>
            <w:tcBorders>
              <w:top w:val="nil"/>
              <w:left w:val="nil"/>
              <w:bottom w:val="single" w:sz="4" w:space="0" w:color="auto"/>
              <w:right w:val="single" w:sz="4" w:space="0" w:color="auto"/>
            </w:tcBorders>
            <w:shd w:val="clear" w:color="auto" w:fill="auto"/>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0.4</w:t>
            </w:r>
          </w:p>
        </w:tc>
        <w:tc>
          <w:tcPr>
            <w:tcW w:w="1133" w:type="dxa"/>
            <w:tcBorders>
              <w:top w:val="nil"/>
              <w:left w:val="nil"/>
              <w:bottom w:val="single" w:sz="4" w:space="0" w:color="auto"/>
              <w:right w:val="single" w:sz="4" w:space="0" w:color="auto"/>
            </w:tcBorders>
            <w:shd w:val="clear" w:color="auto" w:fill="auto"/>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1.1</w:t>
            </w:r>
          </w:p>
        </w:tc>
      </w:tr>
      <w:tr w:rsidR="00445C83" w:rsidRPr="0016169D" w:rsidTr="00CC645D">
        <w:trPr>
          <w:trHeight w:val="325"/>
        </w:trPr>
        <w:tc>
          <w:tcPr>
            <w:tcW w:w="1533" w:type="dxa"/>
            <w:tcBorders>
              <w:top w:val="nil"/>
              <w:left w:val="single" w:sz="4" w:space="0" w:color="auto"/>
              <w:bottom w:val="single" w:sz="4" w:space="0" w:color="auto"/>
              <w:right w:val="single" w:sz="4" w:space="0" w:color="auto"/>
            </w:tcBorders>
            <w:shd w:val="clear" w:color="000000" w:fill="D3DFEE"/>
            <w:vAlign w:val="center"/>
            <w:hideMark/>
          </w:tcPr>
          <w:p w:rsidR="00445C83" w:rsidRPr="0016169D" w:rsidRDefault="00445C83" w:rsidP="0016169D">
            <w:pPr>
              <w:rPr>
                <w:rFonts w:ascii="Arial" w:eastAsia="Malgun Gothic" w:hAnsi="Arial" w:cs="Arial"/>
                <w:b/>
                <w:bCs/>
                <w:color w:val="000000"/>
                <w:sz w:val="22"/>
                <w:szCs w:val="22"/>
              </w:rPr>
            </w:pPr>
            <w:r w:rsidRPr="0016169D">
              <w:rPr>
                <w:rFonts w:ascii="Arial" w:eastAsia="Malgun Gothic" w:hAnsi="Arial" w:cs="Arial"/>
                <w:b/>
                <w:bCs/>
                <w:color w:val="000000"/>
                <w:sz w:val="22"/>
                <w:szCs w:val="22"/>
              </w:rPr>
              <w:t>Others</w:t>
            </w:r>
          </w:p>
        </w:tc>
        <w:tc>
          <w:tcPr>
            <w:tcW w:w="1132" w:type="dxa"/>
            <w:tcBorders>
              <w:top w:val="nil"/>
              <w:left w:val="nil"/>
              <w:bottom w:val="single" w:sz="4" w:space="0" w:color="auto"/>
              <w:right w:val="single" w:sz="4" w:space="0" w:color="auto"/>
            </w:tcBorders>
            <w:shd w:val="clear" w:color="000000" w:fill="D3DFEE"/>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3.8</w:t>
            </w:r>
          </w:p>
        </w:tc>
        <w:tc>
          <w:tcPr>
            <w:tcW w:w="1133" w:type="dxa"/>
            <w:tcBorders>
              <w:top w:val="nil"/>
              <w:left w:val="nil"/>
              <w:bottom w:val="single" w:sz="4" w:space="0" w:color="auto"/>
              <w:right w:val="single" w:sz="4" w:space="0" w:color="auto"/>
            </w:tcBorders>
            <w:shd w:val="clear" w:color="000000" w:fill="D3DFEE"/>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2.9</w:t>
            </w:r>
          </w:p>
        </w:tc>
        <w:tc>
          <w:tcPr>
            <w:tcW w:w="1133" w:type="dxa"/>
            <w:tcBorders>
              <w:top w:val="nil"/>
              <w:left w:val="nil"/>
              <w:bottom w:val="single" w:sz="4" w:space="0" w:color="auto"/>
              <w:right w:val="single" w:sz="4" w:space="0" w:color="auto"/>
            </w:tcBorders>
            <w:shd w:val="clear" w:color="000000" w:fill="D3DFEE"/>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3.</w:t>
            </w:r>
            <w:r w:rsidR="00CC645D">
              <w:rPr>
                <w:rFonts w:ascii="Arial" w:eastAsia="Malgun Gothic" w:hAnsi="Arial" w:cs="Arial"/>
                <w:color w:val="000000"/>
                <w:sz w:val="22"/>
                <w:szCs w:val="22"/>
              </w:rPr>
              <w:t>7</w:t>
            </w:r>
          </w:p>
        </w:tc>
        <w:tc>
          <w:tcPr>
            <w:tcW w:w="1133" w:type="dxa"/>
            <w:tcBorders>
              <w:top w:val="nil"/>
              <w:left w:val="nil"/>
              <w:bottom w:val="single" w:sz="4" w:space="0" w:color="auto"/>
              <w:right w:val="single" w:sz="4" w:space="0" w:color="auto"/>
            </w:tcBorders>
            <w:shd w:val="clear" w:color="000000" w:fill="D3DFEE"/>
            <w:vAlign w:val="center"/>
            <w:hideMark/>
          </w:tcPr>
          <w:p w:rsidR="00445C83" w:rsidRPr="0016169D" w:rsidRDefault="00445C83" w:rsidP="0016169D">
            <w:pPr>
              <w:jc w:val="right"/>
              <w:rPr>
                <w:rFonts w:ascii="Arial" w:eastAsia="Malgun Gothic" w:hAnsi="Arial" w:cs="Arial"/>
                <w:color w:val="000000"/>
                <w:sz w:val="22"/>
                <w:szCs w:val="22"/>
              </w:rPr>
            </w:pPr>
            <w:r w:rsidRPr="0016169D">
              <w:rPr>
                <w:rFonts w:ascii="Arial" w:eastAsia="Malgun Gothic" w:hAnsi="Arial" w:cs="Arial"/>
                <w:color w:val="000000"/>
                <w:sz w:val="22"/>
                <w:szCs w:val="22"/>
              </w:rPr>
              <w:t>3.</w:t>
            </w:r>
            <w:r w:rsidR="00CC645D">
              <w:rPr>
                <w:rFonts w:ascii="Arial" w:eastAsia="Malgun Gothic" w:hAnsi="Arial" w:cs="Arial"/>
                <w:color w:val="000000"/>
                <w:sz w:val="22"/>
                <w:szCs w:val="22"/>
              </w:rPr>
              <w:t>7</w:t>
            </w:r>
          </w:p>
        </w:tc>
        <w:tc>
          <w:tcPr>
            <w:tcW w:w="1133" w:type="dxa"/>
            <w:tcBorders>
              <w:top w:val="nil"/>
              <w:left w:val="nil"/>
              <w:bottom w:val="single" w:sz="4" w:space="0" w:color="auto"/>
              <w:right w:val="single" w:sz="4" w:space="0" w:color="auto"/>
            </w:tcBorders>
            <w:shd w:val="clear" w:color="000000" w:fill="D3DFEE"/>
            <w:vAlign w:val="center"/>
            <w:hideMark/>
          </w:tcPr>
          <w:p w:rsidR="00445C83" w:rsidRPr="0016169D" w:rsidRDefault="00CC645D" w:rsidP="0016169D">
            <w:pPr>
              <w:jc w:val="right"/>
              <w:rPr>
                <w:rFonts w:ascii="Arial" w:eastAsia="Malgun Gothic" w:hAnsi="Arial" w:cs="Arial"/>
                <w:color w:val="000000"/>
                <w:sz w:val="22"/>
                <w:szCs w:val="22"/>
              </w:rPr>
            </w:pPr>
            <w:r>
              <w:rPr>
                <w:rFonts w:ascii="Arial" w:eastAsia="Malgun Gothic" w:hAnsi="Arial" w:cs="Arial"/>
                <w:color w:val="000000"/>
                <w:sz w:val="22"/>
                <w:szCs w:val="22"/>
              </w:rPr>
              <w:t>4.1</w:t>
            </w:r>
          </w:p>
        </w:tc>
      </w:tr>
      <w:tr w:rsidR="00445C83" w:rsidRPr="0016169D" w:rsidTr="00CC645D">
        <w:trPr>
          <w:trHeight w:val="325"/>
        </w:trPr>
        <w:tc>
          <w:tcPr>
            <w:tcW w:w="1533" w:type="dxa"/>
            <w:tcBorders>
              <w:top w:val="nil"/>
              <w:left w:val="single" w:sz="4" w:space="0" w:color="auto"/>
              <w:bottom w:val="single" w:sz="4" w:space="0" w:color="auto"/>
              <w:right w:val="single" w:sz="4" w:space="0" w:color="auto"/>
            </w:tcBorders>
            <w:shd w:val="clear" w:color="auto" w:fill="auto"/>
            <w:vAlign w:val="center"/>
            <w:hideMark/>
          </w:tcPr>
          <w:p w:rsidR="00445C83" w:rsidRPr="0016169D" w:rsidRDefault="00445C83" w:rsidP="0016169D">
            <w:pPr>
              <w:rPr>
                <w:rFonts w:ascii="Arial" w:eastAsia="Malgun Gothic" w:hAnsi="Arial" w:cs="Arial"/>
                <w:b/>
                <w:bCs/>
                <w:color w:val="000000"/>
                <w:sz w:val="22"/>
                <w:szCs w:val="22"/>
              </w:rPr>
            </w:pPr>
            <w:r w:rsidRPr="0016169D">
              <w:rPr>
                <w:rFonts w:ascii="Arial" w:eastAsia="Malgun Gothic" w:hAnsi="Arial" w:cs="Arial"/>
                <w:b/>
                <w:bCs/>
                <w:color w:val="000000"/>
                <w:sz w:val="22"/>
                <w:szCs w:val="22"/>
              </w:rPr>
              <w:t>Total</w:t>
            </w:r>
          </w:p>
        </w:tc>
        <w:tc>
          <w:tcPr>
            <w:tcW w:w="1132" w:type="dxa"/>
            <w:tcBorders>
              <w:top w:val="nil"/>
              <w:left w:val="nil"/>
              <w:bottom w:val="single" w:sz="4" w:space="0" w:color="auto"/>
              <w:right w:val="single" w:sz="4" w:space="0" w:color="auto"/>
            </w:tcBorders>
            <w:shd w:val="clear" w:color="auto" w:fill="auto"/>
            <w:vAlign w:val="center"/>
            <w:hideMark/>
          </w:tcPr>
          <w:p w:rsidR="00445C83" w:rsidRPr="0016169D" w:rsidRDefault="00445C83" w:rsidP="0016169D">
            <w:pPr>
              <w:jc w:val="right"/>
              <w:rPr>
                <w:rFonts w:ascii="Arial" w:eastAsia="Malgun Gothic" w:hAnsi="Arial" w:cs="Arial"/>
                <w:b/>
                <w:bCs/>
                <w:color w:val="000000"/>
                <w:sz w:val="22"/>
                <w:szCs w:val="22"/>
              </w:rPr>
            </w:pPr>
            <w:r w:rsidRPr="0016169D">
              <w:rPr>
                <w:rFonts w:ascii="Arial" w:eastAsia="Malgun Gothic" w:hAnsi="Arial" w:cs="Arial"/>
                <w:b/>
                <w:bCs/>
                <w:color w:val="000000"/>
                <w:sz w:val="22"/>
                <w:szCs w:val="22"/>
              </w:rPr>
              <w:t>33.6</w:t>
            </w:r>
          </w:p>
        </w:tc>
        <w:tc>
          <w:tcPr>
            <w:tcW w:w="1133" w:type="dxa"/>
            <w:tcBorders>
              <w:top w:val="nil"/>
              <w:left w:val="nil"/>
              <w:bottom w:val="single" w:sz="4" w:space="0" w:color="auto"/>
              <w:right w:val="single" w:sz="4" w:space="0" w:color="auto"/>
            </w:tcBorders>
            <w:shd w:val="clear" w:color="auto" w:fill="auto"/>
            <w:vAlign w:val="center"/>
            <w:hideMark/>
          </w:tcPr>
          <w:p w:rsidR="00445C83" w:rsidRPr="0016169D" w:rsidRDefault="00445C83" w:rsidP="0016169D">
            <w:pPr>
              <w:jc w:val="right"/>
              <w:rPr>
                <w:rFonts w:ascii="Arial" w:eastAsia="Malgun Gothic" w:hAnsi="Arial" w:cs="Arial"/>
                <w:b/>
                <w:bCs/>
                <w:color w:val="000000"/>
                <w:sz w:val="22"/>
                <w:szCs w:val="22"/>
              </w:rPr>
            </w:pPr>
            <w:r w:rsidRPr="0016169D">
              <w:rPr>
                <w:rFonts w:ascii="Arial" w:eastAsia="Malgun Gothic" w:hAnsi="Arial" w:cs="Arial"/>
                <w:b/>
                <w:bCs/>
                <w:color w:val="000000"/>
                <w:sz w:val="22"/>
                <w:szCs w:val="22"/>
              </w:rPr>
              <w:t>39.1</w:t>
            </w:r>
          </w:p>
        </w:tc>
        <w:tc>
          <w:tcPr>
            <w:tcW w:w="1133" w:type="dxa"/>
            <w:tcBorders>
              <w:top w:val="nil"/>
              <w:left w:val="nil"/>
              <w:bottom w:val="single" w:sz="4" w:space="0" w:color="auto"/>
              <w:right w:val="single" w:sz="4" w:space="0" w:color="auto"/>
            </w:tcBorders>
            <w:shd w:val="clear" w:color="auto" w:fill="auto"/>
            <w:vAlign w:val="center"/>
            <w:hideMark/>
          </w:tcPr>
          <w:p w:rsidR="00445C83" w:rsidRPr="0016169D" w:rsidRDefault="00445C83" w:rsidP="0016169D">
            <w:pPr>
              <w:jc w:val="right"/>
              <w:rPr>
                <w:rFonts w:ascii="Arial" w:eastAsia="Malgun Gothic" w:hAnsi="Arial" w:cs="Arial"/>
                <w:b/>
                <w:bCs/>
                <w:color w:val="000000"/>
                <w:sz w:val="22"/>
                <w:szCs w:val="22"/>
              </w:rPr>
            </w:pPr>
            <w:r w:rsidRPr="0016169D">
              <w:rPr>
                <w:rFonts w:ascii="Arial" w:eastAsia="Malgun Gothic" w:hAnsi="Arial" w:cs="Arial"/>
                <w:b/>
                <w:bCs/>
                <w:color w:val="000000"/>
                <w:sz w:val="22"/>
                <w:szCs w:val="22"/>
              </w:rPr>
              <w:t>44.</w:t>
            </w:r>
            <w:r w:rsidR="00CC645D">
              <w:rPr>
                <w:rFonts w:ascii="Arial" w:eastAsia="Malgun Gothic" w:hAnsi="Arial" w:cs="Arial"/>
                <w:b/>
                <w:bCs/>
                <w:color w:val="000000"/>
                <w:sz w:val="22"/>
                <w:szCs w:val="22"/>
              </w:rPr>
              <w:t>7</w:t>
            </w:r>
          </w:p>
        </w:tc>
        <w:tc>
          <w:tcPr>
            <w:tcW w:w="1133" w:type="dxa"/>
            <w:tcBorders>
              <w:top w:val="nil"/>
              <w:left w:val="nil"/>
              <w:bottom w:val="single" w:sz="4" w:space="0" w:color="auto"/>
              <w:right w:val="single" w:sz="4" w:space="0" w:color="auto"/>
            </w:tcBorders>
            <w:shd w:val="clear" w:color="auto" w:fill="auto"/>
            <w:vAlign w:val="center"/>
            <w:hideMark/>
          </w:tcPr>
          <w:p w:rsidR="00445C83" w:rsidRPr="0016169D" w:rsidRDefault="00445C83" w:rsidP="0016169D">
            <w:pPr>
              <w:jc w:val="right"/>
              <w:rPr>
                <w:rFonts w:ascii="Arial" w:eastAsia="Malgun Gothic" w:hAnsi="Arial" w:cs="Arial"/>
                <w:b/>
                <w:bCs/>
                <w:color w:val="000000"/>
                <w:sz w:val="22"/>
                <w:szCs w:val="22"/>
              </w:rPr>
            </w:pPr>
            <w:r w:rsidRPr="0016169D">
              <w:rPr>
                <w:rFonts w:ascii="Arial" w:eastAsia="Malgun Gothic" w:hAnsi="Arial" w:cs="Arial"/>
                <w:b/>
                <w:bCs/>
                <w:color w:val="000000"/>
                <w:sz w:val="22"/>
                <w:szCs w:val="22"/>
              </w:rPr>
              <w:t>35.3</w:t>
            </w:r>
          </w:p>
        </w:tc>
        <w:tc>
          <w:tcPr>
            <w:tcW w:w="1133" w:type="dxa"/>
            <w:tcBorders>
              <w:top w:val="nil"/>
              <w:left w:val="nil"/>
              <w:bottom w:val="single" w:sz="4" w:space="0" w:color="auto"/>
              <w:right w:val="single" w:sz="4" w:space="0" w:color="auto"/>
            </w:tcBorders>
            <w:shd w:val="clear" w:color="auto" w:fill="auto"/>
            <w:vAlign w:val="center"/>
            <w:hideMark/>
          </w:tcPr>
          <w:p w:rsidR="00445C83" w:rsidRPr="0016169D" w:rsidRDefault="00CC645D" w:rsidP="0016169D">
            <w:pPr>
              <w:jc w:val="right"/>
              <w:rPr>
                <w:rFonts w:ascii="Arial" w:eastAsia="Malgun Gothic" w:hAnsi="Arial" w:cs="Arial"/>
                <w:b/>
                <w:bCs/>
                <w:color w:val="000000"/>
                <w:sz w:val="22"/>
                <w:szCs w:val="22"/>
              </w:rPr>
            </w:pPr>
            <w:r>
              <w:rPr>
                <w:rFonts w:ascii="Arial" w:eastAsia="Malgun Gothic" w:hAnsi="Arial" w:cs="Arial" w:hint="eastAsia"/>
                <w:b/>
                <w:bCs/>
                <w:color w:val="000000"/>
                <w:sz w:val="22"/>
                <w:szCs w:val="22"/>
              </w:rPr>
              <w:t>3</w:t>
            </w:r>
            <w:r>
              <w:rPr>
                <w:rFonts w:ascii="Arial" w:eastAsia="Malgun Gothic" w:hAnsi="Arial" w:cs="Arial"/>
                <w:b/>
                <w:bCs/>
                <w:color w:val="000000"/>
                <w:sz w:val="22"/>
                <w:szCs w:val="22"/>
              </w:rPr>
              <w:t>2.1</w:t>
            </w:r>
          </w:p>
        </w:tc>
      </w:tr>
    </w:tbl>
    <w:p w:rsidR="00445C83" w:rsidRDefault="0016169D" w:rsidP="00445C83">
      <w:pPr>
        <w:spacing w:line="276" w:lineRule="auto"/>
        <w:ind w:firstLineChars="2550" w:firstLine="5610"/>
        <w:rPr>
          <w:rFonts w:ascii="Calibri" w:hAnsi="Calibri" w:cs="Calibri"/>
          <w:sz w:val="22"/>
          <w:szCs w:val="22"/>
        </w:rPr>
      </w:pPr>
      <w:r w:rsidRPr="000A272F">
        <w:rPr>
          <w:rFonts w:ascii="Calibri" w:hAnsi="Calibri" w:cs="Calibri"/>
          <w:sz w:val="22"/>
          <w:szCs w:val="22"/>
        </w:rPr>
        <w:t>Source: Clarksons Database</w:t>
      </w:r>
    </w:p>
    <w:p w:rsidR="002A0526" w:rsidRDefault="002A0526" w:rsidP="00445C83">
      <w:pPr>
        <w:spacing w:line="276" w:lineRule="auto"/>
        <w:ind w:firstLineChars="2550" w:firstLine="5610"/>
        <w:rPr>
          <w:rFonts w:ascii="Calibri" w:eastAsiaTheme="minorEastAsia" w:hAnsi="Calibri" w:cs="Calibri"/>
          <w:sz w:val="22"/>
          <w:szCs w:val="22"/>
        </w:rPr>
      </w:pPr>
    </w:p>
    <w:p w:rsidR="00445C83" w:rsidRDefault="00445C83" w:rsidP="00445C83">
      <w:pPr>
        <w:spacing w:line="276" w:lineRule="auto"/>
        <w:rPr>
          <w:rFonts w:ascii="Calibri" w:hAnsi="Calibri" w:cs="Calibri"/>
          <w:sz w:val="22"/>
          <w:szCs w:val="22"/>
        </w:rPr>
      </w:pPr>
    </w:p>
    <w:p w:rsidR="0078496F" w:rsidRDefault="00381314" w:rsidP="0046109E">
      <w:pPr>
        <w:spacing w:line="276" w:lineRule="auto"/>
        <w:rPr>
          <w:rFonts w:ascii="Calibri" w:eastAsiaTheme="minorEastAsia" w:hAnsi="Calibri" w:cs="Calibri"/>
          <w:sz w:val="24"/>
          <w:szCs w:val="24"/>
        </w:rPr>
      </w:pPr>
      <w:r>
        <w:rPr>
          <w:noProof/>
          <w:lang w:eastAsia="zh-TW"/>
        </w:rPr>
        <w:drawing>
          <wp:inline distT="0" distB="0" distL="0" distR="0" wp14:anchorId="77873BF7" wp14:editId="1EC63E59">
            <wp:extent cx="5681663" cy="2828925"/>
            <wp:effectExtent l="0" t="0" r="14605" b="9525"/>
            <wp:docPr id="7" name="차트 7">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12E2C57-356B-473D-A767-06EC3C032E4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C645D" w:rsidRDefault="00CC645D" w:rsidP="00CC645D">
      <w:pPr>
        <w:spacing w:line="276" w:lineRule="auto"/>
        <w:ind w:firstLineChars="2700" w:firstLine="5940"/>
        <w:rPr>
          <w:rFonts w:ascii="Calibri" w:hAnsi="Calibri" w:cs="Calibri"/>
          <w:sz w:val="22"/>
          <w:szCs w:val="22"/>
        </w:rPr>
      </w:pPr>
      <w:r>
        <w:rPr>
          <w:rFonts w:ascii="Calibri" w:hAnsi="Calibri" w:cs="Calibri"/>
          <w:sz w:val="22"/>
          <w:szCs w:val="22"/>
        </w:rPr>
        <w:t xml:space="preserve">Data </w:t>
      </w:r>
      <w:r w:rsidRPr="000A272F">
        <w:rPr>
          <w:rFonts w:ascii="Calibri" w:hAnsi="Calibri" w:cs="Calibri"/>
          <w:sz w:val="22"/>
          <w:szCs w:val="22"/>
        </w:rPr>
        <w:t xml:space="preserve">Source: </w:t>
      </w:r>
      <w:proofErr w:type="spellStart"/>
      <w:r w:rsidRPr="000A272F">
        <w:rPr>
          <w:rFonts w:ascii="Calibri" w:hAnsi="Calibri" w:cs="Calibri"/>
          <w:sz w:val="22"/>
          <w:szCs w:val="22"/>
        </w:rPr>
        <w:t>Clarksons</w:t>
      </w:r>
      <w:proofErr w:type="spellEnd"/>
      <w:r w:rsidRPr="000A272F">
        <w:rPr>
          <w:rFonts w:ascii="Calibri" w:hAnsi="Calibri" w:cs="Calibri"/>
          <w:sz w:val="22"/>
          <w:szCs w:val="22"/>
        </w:rPr>
        <w:t xml:space="preserve"> Database</w:t>
      </w:r>
    </w:p>
    <w:p w:rsidR="00CC645D" w:rsidRDefault="00CC645D" w:rsidP="0046109E">
      <w:pPr>
        <w:spacing w:line="276" w:lineRule="auto"/>
        <w:rPr>
          <w:rFonts w:ascii="Calibri" w:eastAsiaTheme="minorEastAsia" w:hAnsi="Calibri" w:cs="Calibri"/>
          <w:sz w:val="24"/>
          <w:szCs w:val="24"/>
        </w:rPr>
      </w:pPr>
    </w:p>
    <w:p w:rsidR="00967E73" w:rsidRPr="00CC645D" w:rsidRDefault="00967E73" w:rsidP="0046109E">
      <w:pPr>
        <w:spacing w:line="276" w:lineRule="auto"/>
        <w:rPr>
          <w:rFonts w:ascii="Calibri" w:eastAsiaTheme="minorEastAsia" w:hAnsi="Calibri" w:cs="Calibri"/>
          <w:sz w:val="24"/>
          <w:szCs w:val="24"/>
        </w:rPr>
      </w:pPr>
    </w:p>
    <w:p w:rsidR="00967E73" w:rsidRDefault="00967E73" w:rsidP="00AE20F4">
      <w:pPr>
        <w:rPr>
          <w:rFonts w:ascii="Calibri" w:eastAsiaTheme="minorEastAsia" w:hAnsi="Calibri" w:cs="Calibri"/>
          <w:sz w:val="24"/>
          <w:szCs w:val="24"/>
        </w:rPr>
      </w:pPr>
      <w:r>
        <w:rPr>
          <w:rFonts w:ascii="Calibri" w:eastAsiaTheme="minorEastAsia" w:hAnsi="Calibri" w:cs="Calibri" w:hint="eastAsia"/>
          <w:sz w:val="24"/>
          <w:szCs w:val="24"/>
        </w:rPr>
        <w:t>T</w:t>
      </w:r>
      <w:r>
        <w:rPr>
          <w:rFonts w:ascii="Calibri" w:eastAsiaTheme="minorEastAsia" w:hAnsi="Calibri" w:cs="Calibri"/>
          <w:sz w:val="24"/>
          <w:szCs w:val="24"/>
        </w:rPr>
        <w:t>he current recycling market is difficult to predict</w:t>
      </w:r>
      <w:r w:rsidR="0015105A">
        <w:rPr>
          <w:rFonts w:ascii="Calibri" w:eastAsiaTheme="minorEastAsia" w:hAnsi="Calibri" w:cs="Calibri"/>
          <w:sz w:val="24"/>
          <w:szCs w:val="24"/>
        </w:rPr>
        <w:t xml:space="preserve"> in</w:t>
      </w:r>
      <w:r>
        <w:rPr>
          <w:rFonts w:ascii="Calibri" w:eastAsiaTheme="minorEastAsia" w:hAnsi="Calibri" w:cs="Calibri"/>
          <w:sz w:val="24"/>
          <w:szCs w:val="24"/>
        </w:rPr>
        <w:t xml:space="preserve"> which way the market will turn due to the uncertainty across the industry. Since the disaster of Vale Dam in Brazil in January, the price of iron ore increased and Bulk shipping market </w:t>
      </w:r>
      <w:proofErr w:type="gramStart"/>
      <w:r>
        <w:rPr>
          <w:rFonts w:ascii="Calibri" w:eastAsiaTheme="minorEastAsia" w:hAnsi="Calibri" w:cs="Calibri"/>
          <w:sz w:val="24"/>
          <w:szCs w:val="24"/>
        </w:rPr>
        <w:t>collapsed,</w:t>
      </w:r>
      <w:proofErr w:type="gramEnd"/>
      <w:r>
        <w:rPr>
          <w:rFonts w:ascii="Calibri" w:eastAsiaTheme="minorEastAsia" w:hAnsi="Calibri" w:cs="Calibri"/>
          <w:sz w:val="24"/>
          <w:szCs w:val="24"/>
        </w:rPr>
        <w:t xml:space="preserve"> and this may influence the ship recycling of bulk carriers. Also current low freight rate in tanker and gas carrier market could influence</w:t>
      </w:r>
      <w:r w:rsidR="00B30E79">
        <w:rPr>
          <w:rFonts w:ascii="Calibri" w:eastAsiaTheme="minorEastAsia" w:hAnsi="Calibri" w:cs="Calibri"/>
          <w:sz w:val="24"/>
          <w:szCs w:val="24"/>
        </w:rPr>
        <w:t xml:space="preserve"> recycling market.</w:t>
      </w:r>
    </w:p>
    <w:p w:rsidR="00967E73" w:rsidRDefault="00967E73" w:rsidP="00AE20F4">
      <w:pPr>
        <w:rPr>
          <w:rFonts w:ascii="Calibri" w:eastAsiaTheme="minorEastAsia" w:hAnsi="Calibri" w:cs="Calibri"/>
          <w:sz w:val="24"/>
          <w:szCs w:val="24"/>
        </w:rPr>
      </w:pPr>
    </w:p>
    <w:p w:rsidR="00967E73" w:rsidRDefault="00967E73" w:rsidP="00967E73">
      <w:pPr>
        <w:rPr>
          <w:rFonts w:ascii="Calibri" w:eastAsiaTheme="minorEastAsia" w:hAnsi="Calibri" w:cs="Calibri"/>
          <w:sz w:val="24"/>
          <w:szCs w:val="24"/>
        </w:rPr>
      </w:pPr>
      <w:r>
        <w:rPr>
          <w:rFonts w:ascii="Calibri" w:eastAsiaTheme="minorEastAsia" w:hAnsi="Calibri" w:cs="Calibri"/>
          <w:sz w:val="24"/>
          <w:szCs w:val="24"/>
        </w:rPr>
        <w:t xml:space="preserve">In addition, shipping industry is facing huge changes in the near future due to environment regulations such as Sulphur </w:t>
      </w:r>
      <w:r w:rsidR="0015105A">
        <w:rPr>
          <w:rFonts w:ascii="Calibri" w:eastAsiaTheme="minorEastAsia" w:hAnsi="Calibri" w:cs="Calibri"/>
          <w:sz w:val="24"/>
          <w:szCs w:val="24"/>
        </w:rPr>
        <w:t xml:space="preserve">Cap </w:t>
      </w:r>
      <w:r>
        <w:rPr>
          <w:rFonts w:ascii="Calibri" w:eastAsiaTheme="minorEastAsia" w:hAnsi="Calibri" w:cs="Calibri"/>
          <w:sz w:val="24"/>
          <w:szCs w:val="24"/>
        </w:rPr>
        <w:t xml:space="preserve">and GHG issues, ballast water management and so on. Once such changes are realized, no one can surely predict the recycling demand at the present time. In addition, ship recycling regulations such as HKC and European Ship Recycling Regulation may limit </w:t>
      </w:r>
      <w:r w:rsidR="0015105A">
        <w:rPr>
          <w:rFonts w:ascii="Calibri" w:eastAsiaTheme="minorEastAsia" w:hAnsi="Calibri" w:cs="Calibri"/>
          <w:sz w:val="24"/>
          <w:szCs w:val="24"/>
        </w:rPr>
        <w:t xml:space="preserve">the number of available </w:t>
      </w:r>
      <w:r>
        <w:rPr>
          <w:rFonts w:ascii="Calibri" w:eastAsiaTheme="minorEastAsia" w:hAnsi="Calibri" w:cs="Calibri"/>
          <w:sz w:val="24"/>
          <w:szCs w:val="24"/>
        </w:rPr>
        <w:t xml:space="preserve">recycling facilities. </w:t>
      </w:r>
      <w:r w:rsidRPr="000A272F">
        <w:rPr>
          <w:rFonts w:ascii="Calibri" w:eastAsiaTheme="minorEastAsia" w:hAnsi="Calibri" w:cs="Calibri"/>
          <w:sz w:val="24"/>
          <w:szCs w:val="24"/>
        </w:rPr>
        <w:t xml:space="preserve">In this respect, it </w:t>
      </w:r>
      <w:r>
        <w:rPr>
          <w:rFonts w:ascii="Calibri" w:eastAsiaTheme="minorEastAsia" w:hAnsi="Calibri" w:cs="Calibri"/>
          <w:sz w:val="24"/>
          <w:szCs w:val="24"/>
        </w:rPr>
        <w:t>would be</w:t>
      </w:r>
      <w:r w:rsidRPr="000A272F">
        <w:rPr>
          <w:rFonts w:ascii="Calibri" w:eastAsiaTheme="minorEastAsia" w:hAnsi="Calibri" w:cs="Calibri"/>
          <w:sz w:val="24"/>
          <w:szCs w:val="24"/>
        </w:rPr>
        <w:t xml:space="preserve"> important for the shipping industry to secure sufficient capacity of recycling facilities over the world, which comply with global standards.</w:t>
      </w:r>
    </w:p>
    <w:p w:rsidR="00967E73" w:rsidRDefault="00967E73" w:rsidP="00967E73">
      <w:pPr>
        <w:rPr>
          <w:rFonts w:ascii="Calibri" w:eastAsiaTheme="minorEastAsia" w:hAnsi="Calibri" w:cs="Calibri"/>
          <w:sz w:val="24"/>
          <w:szCs w:val="24"/>
        </w:rPr>
      </w:pPr>
    </w:p>
    <w:p w:rsidR="004A31EB" w:rsidRPr="000A272F" w:rsidRDefault="004A31EB" w:rsidP="004A31EB">
      <w:pPr>
        <w:rPr>
          <w:rFonts w:ascii="Calibri" w:hAnsi="Calibri" w:cs="Calibri"/>
          <w:b/>
          <w:sz w:val="28"/>
          <w:szCs w:val="24"/>
        </w:rPr>
      </w:pPr>
      <w:r w:rsidRPr="000A272F">
        <w:rPr>
          <w:rFonts w:ascii="Calibri" w:hAnsi="Calibri" w:cs="Calibri"/>
          <w:b/>
          <w:sz w:val="28"/>
          <w:szCs w:val="24"/>
        </w:rPr>
        <w:lastRenderedPageBreak/>
        <w:t>3. Any information as to progress of HKC-compliant Activities done by any classification societies.</w:t>
      </w:r>
    </w:p>
    <w:p w:rsidR="004A31EB" w:rsidRPr="00242D59" w:rsidRDefault="004A31EB" w:rsidP="004A31EB">
      <w:pPr>
        <w:rPr>
          <w:rFonts w:ascii="Calibri" w:eastAsiaTheme="minorEastAsia" w:hAnsi="Calibri" w:cs="Calibri"/>
          <w:b/>
          <w:sz w:val="28"/>
          <w:szCs w:val="24"/>
        </w:rPr>
      </w:pPr>
    </w:p>
    <w:p w:rsidR="004A31EB" w:rsidRDefault="0078496F" w:rsidP="004A31EB">
      <w:pPr>
        <w:rPr>
          <w:rFonts w:ascii="Calibri" w:eastAsiaTheme="minorEastAsia" w:hAnsi="Calibri" w:cs="Calibri"/>
          <w:sz w:val="24"/>
          <w:szCs w:val="24"/>
        </w:rPr>
      </w:pPr>
      <w:r>
        <w:rPr>
          <w:rFonts w:ascii="Calibri" w:eastAsiaTheme="minorEastAsia" w:hAnsi="Calibri" w:cs="Calibri"/>
          <w:sz w:val="24"/>
          <w:szCs w:val="24"/>
        </w:rPr>
        <w:t>No outstanding information was received so far.</w:t>
      </w:r>
    </w:p>
    <w:p w:rsidR="00242D59" w:rsidRPr="000A272F" w:rsidRDefault="00242D59" w:rsidP="004A31EB">
      <w:pPr>
        <w:rPr>
          <w:rFonts w:ascii="Calibri" w:eastAsiaTheme="minorEastAsia" w:hAnsi="Calibri" w:cs="Calibri"/>
          <w:b/>
          <w:sz w:val="28"/>
          <w:szCs w:val="24"/>
        </w:rPr>
      </w:pPr>
    </w:p>
    <w:p w:rsidR="004530CF" w:rsidRPr="000A272F" w:rsidRDefault="00AC5A0E" w:rsidP="00AC5A0E">
      <w:pPr>
        <w:jc w:val="center"/>
        <w:rPr>
          <w:rFonts w:ascii="Calibri" w:eastAsiaTheme="minorEastAsia" w:hAnsi="Calibri" w:cs="Calibri"/>
          <w:sz w:val="28"/>
          <w:szCs w:val="24"/>
        </w:rPr>
      </w:pPr>
      <w:r w:rsidRPr="000A272F">
        <w:rPr>
          <w:rFonts w:ascii="Calibri" w:eastAsiaTheme="minorEastAsia" w:hAnsi="Calibri" w:cs="Calibri"/>
          <w:sz w:val="28"/>
          <w:szCs w:val="24"/>
        </w:rPr>
        <w:t>== End ==</w:t>
      </w:r>
    </w:p>
    <w:sectPr w:rsidR="004530CF" w:rsidRPr="000A272F" w:rsidSect="00A169DE">
      <w:footerReference w:type="default" r:id="rId10"/>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A65" w:rsidRDefault="00235A65" w:rsidP="00447BEE">
      <w:r>
        <w:separator/>
      </w:r>
    </w:p>
  </w:endnote>
  <w:endnote w:type="continuationSeparator" w:id="0">
    <w:p w:rsidR="00235A65" w:rsidRDefault="00235A65" w:rsidP="00447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GulimChe">
    <w:altName w:val="굴림체"/>
    <w:panose1 w:val="020B0609000101010101"/>
    <w:charset w:val="81"/>
    <w:family w:val="modern"/>
    <w:pitch w:val="fixed"/>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5144943"/>
      <w:docPartObj>
        <w:docPartGallery w:val="Page Numbers (Bottom of Page)"/>
        <w:docPartUnique/>
      </w:docPartObj>
    </w:sdtPr>
    <w:sdtEndPr/>
    <w:sdtContent>
      <w:p w:rsidR="005B27D8" w:rsidRDefault="005B27D8">
        <w:pPr>
          <w:pStyle w:val="a6"/>
          <w:jc w:val="center"/>
        </w:pPr>
        <w:r>
          <w:fldChar w:fldCharType="begin"/>
        </w:r>
        <w:r>
          <w:instrText>PAGE   \* MERGEFORMAT</w:instrText>
        </w:r>
        <w:r>
          <w:fldChar w:fldCharType="separate"/>
        </w:r>
        <w:r w:rsidR="000F4ABF" w:rsidRPr="000F4ABF">
          <w:rPr>
            <w:noProof/>
            <w:lang w:val="ko-KR"/>
          </w:rPr>
          <w:t>2</w:t>
        </w:r>
        <w:r>
          <w:fldChar w:fldCharType="end"/>
        </w:r>
      </w:p>
    </w:sdtContent>
  </w:sdt>
  <w:p w:rsidR="005B27D8" w:rsidRDefault="005B27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A65" w:rsidRDefault="00235A65" w:rsidP="00447BEE">
      <w:r>
        <w:separator/>
      </w:r>
    </w:p>
  </w:footnote>
  <w:footnote w:type="continuationSeparator" w:id="0">
    <w:p w:rsidR="00235A65" w:rsidRDefault="00235A65" w:rsidP="00447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B4655"/>
    <w:multiLevelType w:val="hybridMultilevel"/>
    <w:tmpl w:val="EF8EB400"/>
    <w:lvl w:ilvl="0" w:tplc="87925EE4">
      <w:start w:val="1"/>
      <w:numFmt w:val="decimal"/>
      <w:lvlText w:val="(%1)"/>
      <w:lvlJc w:val="left"/>
      <w:pPr>
        <w:ind w:left="435" w:hanging="435"/>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
    <w:nsid w:val="1A1A7A61"/>
    <w:multiLevelType w:val="hybridMultilevel"/>
    <w:tmpl w:val="0A8A914E"/>
    <w:lvl w:ilvl="0" w:tplc="DF2AF9A0">
      <w:start w:val="3"/>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24CF4024"/>
    <w:multiLevelType w:val="hybridMultilevel"/>
    <w:tmpl w:val="DA9E7408"/>
    <w:lvl w:ilvl="0" w:tplc="3A5E8F8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48425173"/>
    <w:multiLevelType w:val="hybridMultilevel"/>
    <w:tmpl w:val="8B886048"/>
    <w:lvl w:ilvl="0" w:tplc="D4A65EF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71A"/>
    <w:rsid w:val="000154FB"/>
    <w:rsid w:val="00030262"/>
    <w:rsid w:val="00030782"/>
    <w:rsid w:val="00042448"/>
    <w:rsid w:val="000767E0"/>
    <w:rsid w:val="00087999"/>
    <w:rsid w:val="000A272F"/>
    <w:rsid w:val="000A3170"/>
    <w:rsid w:val="000D75D2"/>
    <w:rsid w:val="000E1D8B"/>
    <w:rsid w:val="000F4ABF"/>
    <w:rsid w:val="00120FC7"/>
    <w:rsid w:val="0012751D"/>
    <w:rsid w:val="001356DB"/>
    <w:rsid w:val="00137385"/>
    <w:rsid w:val="0015105A"/>
    <w:rsid w:val="0016169D"/>
    <w:rsid w:val="00165A47"/>
    <w:rsid w:val="001712E5"/>
    <w:rsid w:val="00171DFE"/>
    <w:rsid w:val="001748FC"/>
    <w:rsid w:val="00187B9C"/>
    <w:rsid w:val="0019467E"/>
    <w:rsid w:val="001A3114"/>
    <w:rsid w:val="001C1467"/>
    <w:rsid w:val="001C389E"/>
    <w:rsid w:val="001C3E5B"/>
    <w:rsid w:val="001D7A42"/>
    <w:rsid w:val="001E4948"/>
    <w:rsid w:val="001E737C"/>
    <w:rsid w:val="002171FE"/>
    <w:rsid w:val="0023171E"/>
    <w:rsid w:val="00235A65"/>
    <w:rsid w:val="00242D59"/>
    <w:rsid w:val="00246C9F"/>
    <w:rsid w:val="00261CCC"/>
    <w:rsid w:val="00264930"/>
    <w:rsid w:val="00267C8F"/>
    <w:rsid w:val="002853A5"/>
    <w:rsid w:val="002A0526"/>
    <w:rsid w:val="002C27F6"/>
    <w:rsid w:val="002F18E9"/>
    <w:rsid w:val="00322439"/>
    <w:rsid w:val="00331C57"/>
    <w:rsid w:val="003340C0"/>
    <w:rsid w:val="003475CF"/>
    <w:rsid w:val="0037508E"/>
    <w:rsid w:val="00381314"/>
    <w:rsid w:val="003B2B21"/>
    <w:rsid w:val="003B6BD2"/>
    <w:rsid w:val="003E3A50"/>
    <w:rsid w:val="003F1CCC"/>
    <w:rsid w:val="003F233B"/>
    <w:rsid w:val="003F77AA"/>
    <w:rsid w:val="00424C3F"/>
    <w:rsid w:val="00445C83"/>
    <w:rsid w:val="00447BEE"/>
    <w:rsid w:val="00450666"/>
    <w:rsid w:val="004530CF"/>
    <w:rsid w:val="0045529E"/>
    <w:rsid w:val="00456D41"/>
    <w:rsid w:val="00460103"/>
    <w:rsid w:val="0046109E"/>
    <w:rsid w:val="00464C78"/>
    <w:rsid w:val="00492FD0"/>
    <w:rsid w:val="004A31EB"/>
    <w:rsid w:val="004D5C33"/>
    <w:rsid w:val="004F16C4"/>
    <w:rsid w:val="004F6004"/>
    <w:rsid w:val="00566641"/>
    <w:rsid w:val="005869D8"/>
    <w:rsid w:val="005941AC"/>
    <w:rsid w:val="005A1586"/>
    <w:rsid w:val="005A3251"/>
    <w:rsid w:val="005B27D8"/>
    <w:rsid w:val="005B7C10"/>
    <w:rsid w:val="005C08D7"/>
    <w:rsid w:val="005C1FB8"/>
    <w:rsid w:val="005C295D"/>
    <w:rsid w:val="005E3D1F"/>
    <w:rsid w:val="0060430C"/>
    <w:rsid w:val="0061323A"/>
    <w:rsid w:val="00615E89"/>
    <w:rsid w:val="006314A7"/>
    <w:rsid w:val="00640704"/>
    <w:rsid w:val="00656CC2"/>
    <w:rsid w:val="006958B3"/>
    <w:rsid w:val="00704209"/>
    <w:rsid w:val="00724AB2"/>
    <w:rsid w:val="00733BF9"/>
    <w:rsid w:val="00744791"/>
    <w:rsid w:val="0076271A"/>
    <w:rsid w:val="00763A13"/>
    <w:rsid w:val="00763A14"/>
    <w:rsid w:val="00777307"/>
    <w:rsid w:val="0078496F"/>
    <w:rsid w:val="007C106B"/>
    <w:rsid w:val="007D0A11"/>
    <w:rsid w:val="00845860"/>
    <w:rsid w:val="008512F0"/>
    <w:rsid w:val="00866E65"/>
    <w:rsid w:val="00872462"/>
    <w:rsid w:val="00895DEA"/>
    <w:rsid w:val="008A16F9"/>
    <w:rsid w:val="008A3895"/>
    <w:rsid w:val="008C4264"/>
    <w:rsid w:val="009022D6"/>
    <w:rsid w:val="00915C43"/>
    <w:rsid w:val="00921672"/>
    <w:rsid w:val="00923FBC"/>
    <w:rsid w:val="00932454"/>
    <w:rsid w:val="00957989"/>
    <w:rsid w:val="00967E73"/>
    <w:rsid w:val="00975DC2"/>
    <w:rsid w:val="009B4E98"/>
    <w:rsid w:val="009C651D"/>
    <w:rsid w:val="009D4F97"/>
    <w:rsid w:val="009E017A"/>
    <w:rsid w:val="009F2D6F"/>
    <w:rsid w:val="00A169DE"/>
    <w:rsid w:val="00A373C3"/>
    <w:rsid w:val="00A413EF"/>
    <w:rsid w:val="00A41C7E"/>
    <w:rsid w:val="00A4466D"/>
    <w:rsid w:val="00A63939"/>
    <w:rsid w:val="00A67FE5"/>
    <w:rsid w:val="00A70ECB"/>
    <w:rsid w:val="00A71944"/>
    <w:rsid w:val="00A83DB1"/>
    <w:rsid w:val="00AA153B"/>
    <w:rsid w:val="00AA24FB"/>
    <w:rsid w:val="00AB5125"/>
    <w:rsid w:val="00AB683A"/>
    <w:rsid w:val="00AC13E2"/>
    <w:rsid w:val="00AC5A0E"/>
    <w:rsid w:val="00AE20F4"/>
    <w:rsid w:val="00AF1C41"/>
    <w:rsid w:val="00B20A07"/>
    <w:rsid w:val="00B255E0"/>
    <w:rsid w:val="00B26F34"/>
    <w:rsid w:val="00B30E79"/>
    <w:rsid w:val="00B44503"/>
    <w:rsid w:val="00B63658"/>
    <w:rsid w:val="00B82BEA"/>
    <w:rsid w:val="00B90791"/>
    <w:rsid w:val="00B97B0C"/>
    <w:rsid w:val="00BA70EF"/>
    <w:rsid w:val="00BE1266"/>
    <w:rsid w:val="00BF1920"/>
    <w:rsid w:val="00C22CE9"/>
    <w:rsid w:val="00C27423"/>
    <w:rsid w:val="00C843A5"/>
    <w:rsid w:val="00CC645D"/>
    <w:rsid w:val="00CF6530"/>
    <w:rsid w:val="00D020F0"/>
    <w:rsid w:val="00D0732F"/>
    <w:rsid w:val="00D16E3A"/>
    <w:rsid w:val="00D20FDE"/>
    <w:rsid w:val="00D30C32"/>
    <w:rsid w:val="00D3555F"/>
    <w:rsid w:val="00D65124"/>
    <w:rsid w:val="00D812C1"/>
    <w:rsid w:val="00D81EA4"/>
    <w:rsid w:val="00D847DF"/>
    <w:rsid w:val="00D86148"/>
    <w:rsid w:val="00E067F9"/>
    <w:rsid w:val="00E706D8"/>
    <w:rsid w:val="00E71BB4"/>
    <w:rsid w:val="00E73967"/>
    <w:rsid w:val="00E82DBB"/>
    <w:rsid w:val="00E876F1"/>
    <w:rsid w:val="00E907D4"/>
    <w:rsid w:val="00EB29D3"/>
    <w:rsid w:val="00EC21E4"/>
    <w:rsid w:val="00EC566F"/>
    <w:rsid w:val="00ED7D85"/>
    <w:rsid w:val="00EE01F0"/>
    <w:rsid w:val="00EE333D"/>
    <w:rsid w:val="00EF6B33"/>
    <w:rsid w:val="00F02E0F"/>
    <w:rsid w:val="00F149B9"/>
    <w:rsid w:val="00F3345D"/>
    <w:rsid w:val="00F372C1"/>
    <w:rsid w:val="00F57E92"/>
    <w:rsid w:val="00F6276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96F"/>
    <w:pPr>
      <w:jc w:val="both"/>
    </w:pPr>
    <w:rPr>
      <w:rFonts w:ascii="Times New Roman" w:eastAsia="SimSun" w:hAnsi="Times New Roman" w:cs="Times New Roman"/>
      <w:kern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27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uiPriority w:val="60"/>
    <w:rsid w:val="0076271A"/>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4">
    <w:name w:val="header"/>
    <w:basedOn w:val="a"/>
    <w:link w:val="a5"/>
    <w:uiPriority w:val="99"/>
    <w:unhideWhenUsed/>
    <w:rsid w:val="00447BEE"/>
    <w:pPr>
      <w:tabs>
        <w:tab w:val="center" w:pos="4513"/>
        <w:tab w:val="right" w:pos="9026"/>
      </w:tabs>
      <w:snapToGrid w:val="0"/>
    </w:pPr>
  </w:style>
  <w:style w:type="character" w:customStyle="1" w:styleId="a5">
    <w:name w:val="頁首 字元"/>
    <w:basedOn w:val="a0"/>
    <w:link w:val="a4"/>
    <w:uiPriority w:val="99"/>
    <w:rsid w:val="00447BEE"/>
    <w:rPr>
      <w:rFonts w:ascii="Times New Roman" w:eastAsia="SimSun" w:hAnsi="Times New Roman" w:cs="Times New Roman"/>
      <w:kern w:val="0"/>
      <w:sz w:val="21"/>
      <w:szCs w:val="21"/>
    </w:rPr>
  </w:style>
  <w:style w:type="paragraph" w:styleId="a6">
    <w:name w:val="footer"/>
    <w:basedOn w:val="a"/>
    <w:link w:val="a7"/>
    <w:uiPriority w:val="99"/>
    <w:unhideWhenUsed/>
    <w:rsid w:val="00447BEE"/>
    <w:pPr>
      <w:tabs>
        <w:tab w:val="center" w:pos="4513"/>
        <w:tab w:val="right" w:pos="9026"/>
      </w:tabs>
      <w:snapToGrid w:val="0"/>
    </w:pPr>
  </w:style>
  <w:style w:type="character" w:customStyle="1" w:styleId="a7">
    <w:name w:val="頁尾 字元"/>
    <w:basedOn w:val="a0"/>
    <w:link w:val="a6"/>
    <w:uiPriority w:val="99"/>
    <w:rsid w:val="00447BEE"/>
    <w:rPr>
      <w:rFonts w:ascii="Times New Roman" w:eastAsia="SimSun" w:hAnsi="Times New Roman" w:cs="Times New Roman"/>
      <w:kern w:val="0"/>
      <w:sz w:val="21"/>
      <w:szCs w:val="21"/>
    </w:rPr>
  </w:style>
  <w:style w:type="paragraph" w:styleId="a8">
    <w:name w:val="Balloon Text"/>
    <w:basedOn w:val="a"/>
    <w:link w:val="a9"/>
    <w:uiPriority w:val="99"/>
    <w:semiHidden/>
    <w:unhideWhenUsed/>
    <w:rsid w:val="00777307"/>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777307"/>
    <w:rPr>
      <w:rFonts w:asciiTheme="majorHAnsi" w:eastAsiaTheme="majorEastAsia" w:hAnsiTheme="majorHAnsi" w:cstheme="majorBidi"/>
      <w:kern w:val="0"/>
      <w:sz w:val="18"/>
      <w:szCs w:val="18"/>
    </w:rPr>
  </w:style>
  <w:style w:type="paragraph" w:styleId="aa">
    <w:name w:val="List Paragraph"/>
    <w:basedOn w:val="a"/>
    <w:uiPriority w:val="34"/>
    <w:qFormat/>
    <w:rsid w:val="005B7C10"/>
    <w:pPr>
      <w:ind w:leftChars="400" w:left="800"/>
    </w:pPr>
  </w:style>
  <w:style w:type="paragraph" w:styleId="HTML">
    <w:name w:val="HTML Preformatted"/>
    <w:basedOn w:val="a"/>
    <w:link w:val="HTML0"/>
    <w:uiPriority w:val="99"/>
    <w:semiHidden/>
    <w:unhideWhenUsed/>
    <w:rsid w:val="003F2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GulimChe" w:eastAsia="GulimChe" w:hAnsi="GulimChe" w:cs="GulimChe"/>
      <w:sz w:val="24"/>
      <w:szCs w:val="24"/>
    </w:rPr>
  </w:style>
  <w:style w:type="character" w:customStyle="1" w:styleId="HTML0">
    <w:name w:val="HTML 預設格式 字元"/>
    <w:basedOn w:val="a0"/>
    <w:link w:val="HTML"/>
    <w:uiPriority w:val="99"/>
    <w:semiHidden/>
    <w:rsid w:val="003F233B"/>
    <w:rPr>
      <w:rFonts w:ascii="GulimChe" w:eastAsia="GulimChe" w:hAnsi="GulimChe" w:cs="GulimChe"/>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96F"/>
    <w:pPr>
      <w:jc w:val="both"/>
    </w:pPr>
    <w:rPr>
      <w:rFonts w:ascii="Times New Roman" w:eastAsia="SimSun" w:hAnsi="Times New Roman" w:cs="Times New Roman"/>
      <w:kern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27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uiPriority w:val="60"/>
    <w:rsid w:val="0076271A"/>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4">
    <w:name w:val="header"/>
    <w:basedOn w:val="a"/>
    <w:link w:val="a5"/>
    <w:uiPriority w:val="99"/>
    <w:unhideWhenUsed/>
    <w:rsid w:val="00447BEE"/>
    <w:pPr>
      <w:tabs>
        <w:tab w:val="center" w:pos="4513"/>
        <w:tab w:val="right" w:pos="9026"/>
      </w:tabs>
      <w:snapToGrid w:val="0"/>
    </w:pPr>
  </w:style>
  <w:style w:type="character" w:customStyle="1" w:styleId="a5">
    <w:name w:val="頁首 字元"/>
    <w:basedOn w:val="a0"/>
    <w:link w:val="a4"/>
    <w:uiPriority w:val="99"/>
    <w:rsid w:val="00447BEE"/>
    <w:rPr>
      <w:rFonts w:ascii="Times New Roman" w:eastAsia="SimSun" w:hAnsi="Times New Roman" w:cs="Times New Roman"/>
      <w:kern w:val="0"/>
      <w:sz w:val="21"/>
      <w:szCs w:val="21"/>
    </w:rPr>
  </w:style>
  <w:style w:type="paragraph" w:styleId="a6">
    <w:name w:val="footer"/>
    <w:basedOn w:val="a"/>
    <w:link w:val="a7"/>
    <w:uiPriority w:val="99"/>
    <w:unhideWhenUsed/>
    <w:rsid w:val="00447BEE"/>
    <w:pPr>
      <w:tabs>
        <w:tab w:val="center" w:pos="4513"/>
        <w:tab w:val="right" w:pos="9026"/>
      </w:tabs>
      <w:snapToGrid w:val="0"/>
    </w:pPr>
  </w:style>
  <w:style w:type="character" w:customStyle="1" w:styleId="a7">
    <w:name w:val="頁尾 字元"/>
    <w:basedOn w:val="a0"/>
    <w:link w:val="a6"/>
    <w:uiPriority w:val="99"/>
    <w:rsid w:val="00447BEE"/>
    <w:rPr>
      <w:rFonts w:ascii="Times New Roman" w:eastAsia="SimSun" w:hAnsi="Times New Roman" w:cs="Times New Roman"/>
      <w:kern w:val="0"/>
      <w:sz w:val="21"/>
      <w:szCs w:val="21"/>
    </w:rPr>
  </w:style>
  <w:style w:type="paragraph" w:styleId="a8">
    <w:name w:val="Balloon Text"/>
    <w:basedOn w:val="a"/>
    <w:link w:val="a9"/>
    <w:uiPriority w:val="99"/>
    <w:semiHidden/>
    <w:unhideWhenUsed/>
    <w:rsid w:val="00777307"/>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777307"/>
    <w:rPr>
      <w:rFonts w:asciiTheme="majorHAnsi" w:eastAsiaTheme="majorEastAsia" w:hAnsiTheme="majorHAnsi" w:cstheme="majorBidi"/>
      <w:kern w:val="0"/>
      <w:sz w:val="18"/>
      <w:szCs w:val="18"/>
    </w:rPr>
  </w:style>
  <w:style w:type="paragraph" w:styleId="aa">
    <w:name w:val="List Paragraph"/>
    <w:basedOn w:val="a"/>
    <w:uiPriority w:val="34"/>
    <w:qFormat/>
    <w:rsid w:val="005B7C10"/>
    <w:pPr>
      <w:ind w:leftChars="400" w:left="800"/>
    </w:pPr>
  </w:style>
  <w:style w:type="paragraph" w:styleId="HTML">
    <w:name w:val="HTML Preformatted"/>
    <w:basedOn w:val="a"/>
    <w:link w:val="HTML0"/>
    <w:uiPriority w:val="99"/>
    <w:semiHidden/>
    <w:unhideWhenUsed/>
    <w:rsid w:val="003F2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GulimChe" w:eastAsia="GulimChe" w:hAnsi="GulimChe" w:cs="GulimChe"/>
      <w:sz w:val="24"/>
      <w:szCs w:val="24"/>
    </w:rPr>
  </w:style>
  <w:style w:type="character" w:customStyle="1" w:styleId="HTML0">
    <w:name w:val="HTML 預設格式 字元"/>
    <w:basedOn w:val="a0"/>
    <w:link w:val="HTML"/>
    <w:uiPriority w:val="99"/>
    <w:semiHidden/>
    <w:rsid w:val="003F233B"/>
    <w:rPr>
      <w:rFonts w:ascii="GulimChe" w:eastAsia="GulimChe" w:hAnsi="GulimChe" w:cs="GulimChe"/>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407825">
      <w:bodyDiv w:val="1"/>
      <w:marLeft w:val="0"/>
      <w:marRight w:val="0"/>
      <w:marTop w:val="0"/>
      <w:marBottom w:val="0"/>
      <w:divBdr>
        <w:top w:val="none" w:sz="0" w:space="0" w:color="auto"/>
        <w:left w:val="none" w:sz="0" w:space="0" w:color="auto"/>
        <w:bottom w:val="none" w:sz="0" w:space="0" w:color="auto"/>
        <w:right w:val="none" w:sz="0" w:space="0" w:color="auto"/>
      </w:divBdr>
    </w:div>
    <w:div w:id="1157843793">
      <w:bodyDiv w:val="1"/>
      <w:marLeft w:val="0"/>
      <w:marRight w:val="0"/>
      <w:marTop w:val="0"/>
      <w:marBottom w:val="0"/>
      <w:divBdr>
        <w:top w:val="none" w:sz="0" w:space="0" w:color="auto"/>
        <w:left w:val="none" w:sz="0" w:space="0" w:color="auto"/>
        <w:bottom w:val="none" w:sz="0" w:space="0" w:color="auto"/>
        <w:right w:val="none" w:sz="0" w:space="0" w:color="auto"/>
      </w:divBdr>
    </w:div>
    <w:div w:id="1273705022">
      <w:bodyDiv w:val="1"/>
      <w:marLeft w:val="0"/>
      <w:marRight w:val="0"/>
      <w:marTop w:val="0"/>
      <w:marBottom w:val="0"/>
      <w:divBdr>
        <w:top w:val="none" w:sz="0" w:space="0" w:color="auto"/>
        <w:left w:val="none" w:sz="0" w:space="0" w:color="auto"/>
        <w:bottom w:val="none" w:sz="0" w:space="0" w:color="auto"/>
        <w:right w:val="none" w:sz="0" w:space="0" w:color="auto"/>
      </w:divBdr>
      <w:divsChild>
        <w:div w:id="1270117426">
          <w:marLeft w:val="0"/>
          <w:marRight w:val="0"/>
          <w:marTop w:val="0"/>
          <w:marBottom w:val="0"/>
          <w:divBdr>
            <w:top w:val="none" w:sz="0" w:space="0" w:color="auto"/>
            <w:left w:val="none" w:sz="0" w:space="0" w:color="auto"/>
            <w:bottom w:val="none" w:sz="0" w:space="0" w:color="auto"/>
            <w:right w:val="none" w:sz="0" w:space="0" w:color="auto"/>
          </w:divBdr>
          <w:divsChild>
            <w:div w:id="496455430">
              <w:marLeft w:val="0"/>
              <w:marRight w:val="0"/>
              <w:marTop w:val="0"/>
              <w:marBottom w:val="0"/>
              <w:divBdr>
                <w:top w:val="none" w:sz="0" w:space="0" w:color="auto"/>
                <w:left w:val="none" w:sz="0" w:space="0" w:color="auto"/>
                <w:bottom w:val="none" w:sz="0" w:space="0" w:color="auto"/>
                <w:right w:val="none" w:sz="0" w:space="0" w:color="auto"/>
              </w:divBdr>
              <w:divsChild>
                <w:div w:id="315573223">
                  <w:marLeft w:val="0"/>
                  <w:marRight w:val="0"/>
                  <w:marTop w:val="0"/>
                  <w:marBottom w:val="0"/>
                  <w:divBdr>
                    <w:top w:val="none" w:sz="0" w:space="0" w:color="auto"/>
                    <w:left w:val="none" w:sz="0" w:space="0" w:color="auto"/>
                    <w:bottom w:val="none" w:sz="0" w:space="0" w:color="auto"/>
                    <w:right w:val="none" w:sz="0" w:space="0" w:color="auto"/>
                  </w:divBdr>
                  <w:divsChild>
                    <w:div w:id="795493525">
                      <w:marLeft w:val="0"/>
                      <w:marRight w:val="0"/>
                      <w:marTop w:val="45"/>
                      <w:marBottom w:val="0"/>
                      <w:divBdr>
                        <w:top w:val="none" w:sz="0" w:space="0" w:color="auto"/>
                        <w:left w:val="none" w:sz="0" w:space="0" w:color="auto"/>
                        <w:bottom w:val="none" w:sz="0" w:space="0" w:color="auto"/>
                        <w:right w:val="none" w:sz="0" w:space="0" w:color="auto"/>
                      </w:divBdr>
                      <w:divsChild>
                        <w:div w:id="2130469929">
                          <w:marLeft w:val="0"/>
                          <w:marRight w:val="0"/>
                          <w:marTop w:val="0"/>
                          <w:marBottom w:val="0"/>
                          <w:divBdr>
                            <w:top w:val="none" w:sz="0" w:space="0" w:color="auto"/>
                            <w:left w:val="none" w:sz="0" w:space="0" w:color="auto"/>
                            <w:bottom w:val="none" w:sz="0" w:space="0" w:color="auto"/>
                            <w:right w:val="none" w:sz="0" w:space="0" w:color="auto"/>
                          </w:divBdr>
                          <w:divsChild>
                            <w:div w:id="786050471">
                              <w:marLeft w:val="2070"/>
                              <w:marRight w:val="3960"/>
                              <w:marTop w:val="0"/>
                              <w:marBottom w:val="0"/>
                              <w:divBdr>
                                <w:top w:val="none" w:sz="0" w:space="0" w:color="auto"/>
                                <w:left w:val="none" w:sz="0" w:space="0" w:color="auto"/>
                                <w:bottom w:val="none" w:sz="0" w:space="0" w:color="auto"/>
                                <w:right w:val="none" w:sz="0" w:space="0" w:color="auto"/>
                              </w:divBdr>
                              <w:divsChild>
                                <w:div w:id="438379177">
                                  <w:marLeft w:val="0"/>
                                  <w:marRight w:val="0"/>
                                  <w:marTop w:val="0"/>
                                  <w:marBottom w:val="0"/>
                                  <w:divBdr>
                                    <w:top w:val="none" w:sz="0" w:space="0" w:color="auto"/>
                                    <w:left w:val="none" w:sz="0" w:space="0" w:color="auto"/>
                                    <w:bottom w:val="none" w:sz="0" w:space="0" w:color="auto"/>
                                    <w:right w:val="none" w:sz="0" w:space="0" w:color="auto"/>
                                  </w:divBdr>
                                  <w:divsChild>
                                    <w:div w:id="202252107">
                                      <w:marLeft w:val="0"/>
                                      <w:marRight w:val="0"/>
                                      <w:marTop w:val="0"/>
                                      <w:marBottom w:val="0"/>
                                      <w:divBdr>
                                        <w:top w:val="none" w:sz="0" w:space="0" w:color="auto"/>
                                        <w:left w:val="none" w:sz="0" w:space="0" w:color="auto"/>
                                        <w:bottom w:val="none" w:sz="0" w:space="0" w:color="auto"/>
                                        <w:right w:val="none" w:sz="0" w:space="0" w:color="auto"/>
                                      </w:divBdr>
                                      <w:divsChild>
                                        <w:div w:id="1942100340">
                                          <w:marLeft w:val="0"/>
                                          <w:marRight w:val="0"/>
                                          <w:marTop w:val="0"/>
                                          <w:marBottom w:val="0"/>
                                          <w:divBdr>
                                            <w:top w:val="none" w:sz="0" w:space="0" w:color="auto"/>
                                            <w:left w:val="none" w:sz="0" w:space="0" w:color="auto"/>
                                            <w:bottom w:val="none" w:sz="0" w:space="0" w:color="auto"/>
                                            <w:right w:val="none" w:sz="0" w:space="0" w:color="auto"/>
                                          </w:divBdr>
                                          <w:divsChild>
                                            <w:div w:id="604963556">
                                              <w:marLeft w:val="0"/>
                                              <w:marRight w:val="0"/>
                                              <w:marTop w:val="90"/>
                                              <w:marBottom w:val="0"/>
                                              <w:divBdr>
                                                <w:top w:val="none" w:sz="0" w:space="0" w:color="auto"/>
                                                <w:left w:val="none" w:sz="0" w:space="0" w:color="auto"/>
                                                <w:bottom w:val="none" w:sz="0" w:space="0" w:color="auto"/>
                                                <w:right w:val="none" w:sz="0" w:space="0" w:color="auto"/>
                                              </w:divBdr>
                                              <w:divsChild>
                                                <w:div w:id="1186167290">
                                                  <w:marLeft w:val="0"/>
                                                  <w:marRight w:val="0"/>
                                                  <w:marTop w:val="0"/>
                                                  <w:marBottom w:val="0"/>
                                                  <w:divBdr>
                                                    <w:top w:val="none" w:sz="0" w:space="0" w:color="auto"/>
                                                    <w:left w:val="none" w:sz="0" w:space="0" w:color="auto"/>
                                                    <w:bottom w:val="none" w:sz="0" w:space="0" w:color="auto"/>
                                                    <w:right w:val="none" w:sz="0" w:space="0" w:color="auto"/>
                                                  </w:divBdr>
                                                  <w:divsChild>
                                                    <w:div w:id="1455325078">
                                                      <w:marLeft w:val="0"/>
                                                      <w:marRight w:val="0"/>
                                                      <w:marTop w:val="0"/>
                                                      <w:marBottom w:val="0"/>
                                                      <w:divBdr>
                                                        <w:top w:val="none" w:sz="0" w:space="0" w:color="auto"/>
                                                        <w:left w:val="none" w:sz="0" w:space="0" w:color="auto"/>
                                                        <w:bottom w:val="none" w:sz="0" w:space="0" w:color="auto"/>
                                                        <w:right w:val="none" w:sz="0" w:space="0" w:color="auto"/>
                                                      </w:divBdr>
                                                      <w:divsChild>
                                                        <w:div w:id="1056318168">
                                                          <w:marLeft w:val="0"/>
                                                          <w:marRight w:val="0"/>
                                                          <w:marTop w:val="0"/>
                                                          <w:marBottom w:val="390"/>
                                                          <w:divBdr>
                                                            <w:top w:val="none" w:sz="0" w:space="0" w:color="auto"/>
                                                            <w:left w:val="none" w:sz="0" w:space="0" w:color="auto"/>
                                                            <w:bottom w:val="none" w:sz="0" w:space="0" w:color="auto"/>
                                                            <w:right w:val="none" w:sz="0" w:space="0" w:color="auto"/>
                                                          </w:divBdr>
                                                          <w:divsChild>
                                                            <w:div w:id="171116339">
                                                              <w:marLeft w:val="0"/>
                                                              <w:marRight w:val="0"/>
                                                              <w:marTop w:val="0"/>
                                                              <w:marBottom w:val="0"/>
                                                              <w:divBdr>
                                                                <w:top w:val="none" w:sz="0" w:space="0" w:color="auto"/>
                                                                <w:left w:val="none" w:sz="0" w:space="0" w:color="auto"/>
                                                                <w:bottom w:val="none" w:sz="0" w:space="0" w:color="auto"/>
                                                                <w:right w:val="none" w:sz="0" w:space="0" w:color="auto"/>
                                                              </w:divBdr>
                                                              <w:divsChild>
                                                                <w:div w:id="1197237939">
                                                                  <w:marLeft w:val="0"/>
                                                                  <w:marRight w:val="0"/>
                                                                  <w:marTop w:val="0"/>
                                                                  <w:marBottom w:val="0"/>
                                                                  <w:divBdr>
                                                                    <w:top w:val="none" w:sz="0" w:space="0" w:color="auto"/>
                                                                    <w:left w:val="none" w:sz="0" w:space="0" w:color="auto"/>
                                                                    <w:bottom w:val="none" w:sz="0" w:space="0" w:color="auto"/>
                                                                    <w:right w:val="none" w:sz="0" w:space="0" w:color="auto"/>
                                                                  </w:divBdr>
                                                                  <w:divsChild>
                                                                    <w:div w:id="332800288">
                                                                      <w:marLeft w:val="0"/>
                                                                      <w:marRight w:val="0"/>
                                                                      <w:marTop w:val="0"/>
                                                                      <w:marBottom w:val="0"/>
                                                                      <w:divBdr>
                                                                        <w:top w:val="none" w:sz="0" w:space="0" w:color="auto"/>
                                                                        <w:left w:val="none" w:sz="0" w:space="0" w:color="auto"/>
                                                                        <w:bottom w:val="none" w:sz="0" w:space="0" w:color="auto"/>
                                                                        <w:right w:val="none" w:sz="0" w:space="0" w:color="auto"/>
                                                                      </w:divBdr>
                                                                      <w:divsChild>
                                                                        <w:div w:id="374937158">
                                                                          <w:marLeft w:val="0"/>
                                                                          <w:marRight w:val="0"/>
                                                                          <w:marTop w:val="0"/>
                                                                          <w:marBottom w:val="0"/>
                                                                          <w:divBdr>
                                                                            <w:top w:val="none" w:sz="0" w:space="0" w:color="auto"/>
                                                                            <w:left w:val="none" w:sz="0" w:space="0" w:color="auto"/>
                                                                            <w:bottom w:val="none" w:sz="0" w:space="0" w:color="auto"/>
                                                                            <w:right w:val="none" w:sz="0" w:space="0" w:color="auto"/>
                                                                          </w:divBdr>
                                                                          <w:divsChild>
                                                                            <w:div w:id="1936590048">
                                                                              <w:marLeft w:val="0"/>
                                                                              <w:marRight w:val="0"/>
                                                                              <w:marTop w:val="0"/>
                                                                              <w:marBottom w:val="0"/>
                                                                              <w:divBdr>
                                                                                <w:top w:val="none" w:sz="0" w:space="0" w:color="auto"/>
                                                                                <w:left w:val="none" w:sz="0" w:space="0" w:color="auto"/>
                                                                                <w:bottom w:val="none" w:sz="0" w:space="0" w:color="auto"/>
                                                                                <w:right w:val="none" w:sz="0" w:space="0" w:color="auto"/>
                                                                              </w:divBdr>
                                                                              <w:divsChild>
                                                                                <w:div w:id="1216887371">
                                                                                  <w:marLeft w:val="0"/>
                                                                                  <w:marRight w:val="0"/>
                                                                                  <w:marTop w:val="0"/>
                                                                                  <w:marBottom w:val="0"/>
                                                                                  <w:divBdr>
                                                                                    <w:top w:val="none" w:sz="0" w:space="0" w:color="auto"/>
                                                                                    <w:left w:val="none" w:sz="0" w:space="0" w:color="auto"/>
                                                                                    <w:bottom w:val="none" w:sz="0" w:space="0" w:color="auto"/>
                                                                                    <w:right w:val="none" w:sz="0" w:space="0" w:color="auto"/>
                                                                                  </w:divBdr>
                                                                                  <w:divsChild>
                                                                                    <w:div w:id="887885803">
                                                                                      <w:marLeft w:val="0"/>
                                                                                      <w:marRight w:val="0"/>
                                                                                      <w:marTop w:val="0"/>
                                                                                      <w:marBottom w:val="0"/>
                                                                                      <w:divBdr>
                                                                                        <w:top w:val="none" w:sz="0" w:space="0" w:color="auto"/>
                                                                                        <w:left w:val="none" w:sz="0" w:space="0" w:color="auto"/>
                                                                                        <w:bottom w:val="none" w:sz="0" w:space="0" w:color="auto"/>
                                                                                        <w:right w:val="none" w:sz="0" w:space="0" w:color="auto"/>
                                                                                      </w:divBdr>
                                                                                      <w:divsChild>
                                                                                        <w:div w:id="31144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7873511">
      <w:bodyDiv w:val="1"/>
      <w:marLeft w:val="0"/>
      <w:marRight w:val="0"/>
      <w:marTop w:val="0"/>
      <w:marBottom w:val="0"/>
      <w:divBdr>
        <w:top w:val="none" w:sz="0" w:space="0" w:color="auto"/>
        <w:left w:val="none" w:sz="0" w:space="0" w:color="auto"/>
        <w:bottom w:val="none" w:sz="0" w:space="0" w:color="auto"/>
        <w:right w:val="none" w:sz="0" w:space="0" w:color="auto"/>
      </w:divBdr>
    </w:div>
    <w:div w:id="1505434038">
      <w:bodyDiv w:val="1"/>
      <w:marLeft w:val="0"/>
      <w:marRight w:val="0"/>
      <w:marTop w:val="0"/>
      <w:marBottom w:val="0"/>
      <w:divBdr>
        <w:top w:val="none" w:sz="0" w:space="0" w:color="auto"/>
        <w:left w:val="none" w:sz="0" w:space="0" w:color="auto"/>
        <w:bottom w:val="none" w:sz="0" w:space="0" w:color="auto"/>
        <w:right w:val="none" w:sz="0" w:space="0" w:color="auto"/>
      </w:divBdr>
    </w:div>
    <w:div w:id="1613319004">
      <w:bodyDiv w:val="1"/>
      <w:marLeft w:val="0"/>
      <w:marRight w:val="0"/>
      <w:marTop w:val="0"/>
      <w:marBottom w:val="0"/>
      <w:divBdr>
        <w:top w:val="none" w:sz="0" w:space="0" w:color="auto"/>
        <w:left w:val="none" w:sz="0" w:space="0" w:color="auto"/>
        <w:bottom w:val="none" w:sz="0" w:space="0" w:color="auto"/>
        <w:right w:val="none" w:sz="0" w:space="0" w:color="auto"/>
      </w:divBdr>
    </w:div>
    <w:div w:id="1759250713">
      <w:bodyDiv w:val="1"/>
      <w:marLeft w:val="0"/>
      <w:marRight w:val="0"/>
      <w:marTop w:val="0"/>
      <w:marBottom w:val="0"/>
      <w:divBdr>
        <w:top w:val="none" w:sz="0" w:space="0" w:color="auto"/>
        <w:left w:val="none" w:sz="0" w:space="0" w:color="auto"/>
        <w:bottom w:val="none" w:sz="0" w:space="0" w:color="auto"/>
        <w:right w:val="none" w:sz="0" w:space="0" w:color="auto"/>
      </w:divBdr>
    </w:div>
    <w:div w:id="1976257055">
      <w:bodyDiv w:val="1"/>
      <w:marLeft w:val="0"/>
      <w:marRight w:val="0"/>
      <w:marTop w:val="0"/>
      <w:marBottom w:val="0"/>
      <w:divBdr>
        <w:top w:val="none" w:sz="0" w:space="0" w:color="auto"/>
        <w:left w:val="none" w:sz="0" w:space="0" w:color="auto"/>
        <w:bottom w:val="none" w:sz="0" w:space="0" w:color="auto"/>
        <w:right w:val="none" w:sz="0" w:space="0" w:color="auto"/>
      </w:divBdr>
    </w:div>
    <w:div w:id="202312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openxmlformats.org/officeDocument/2006/relationships/package" Target="../embeddings/Microsoft_Excel_Worksheet1.xlsx"/><Relationship Id="rId1" Type="http://schemas.openxmlformats.org/officeDocument/2006/relationships/themeOverride" Target="../theme/themeOverride1.xml"/><Relationship Id="rId4"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openxmlformats.org/officeDocument/2006/relationships/package" Target="../embeddings/Microsoft_Excel_Worksheet2.xlsx"/><Relationship Id="rId1" Type="http://schemas.openxmlformats.org/officeDocument/2006/relationships/themeOverride" Target="../theme/themeOverride2.xml"/><Relationship Id="rId4"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cap="none" spc="20" baseline="0">
                <a:solidFill>
                  <a:schemeClr val="dk1">
                    <a:lumMod val="50000"/>
                    <a:lumOff val="50000"/>
                  </a:schemeClr>
                </a:solidFill>
                <a:latin typeface="+mn-lt"/>
                <a:ea typeface="+mn-ea"/>
                <a:cs typeface="+mn-cs"/>
              </a:defRPr>
            </a:pPr>
            <a:r>
              <a:rPr lang="en-US" altLang="ko-KR" sz="1800" b="0" i="0" baseline="0">
                <a:effectLst/>
              </a:rPr>
              <a:t>Korean ship recycling trend by ship type</a:t>
            </a:r>
            <a:endParaRPr lang="ko-KR" altLang="ko-KR">
              <a:effectLst/>
            </a:endParaRPr>
          </a:p>
        </c:rich>
      </c:tx>
      <c:layout/>
      <c:overlay val="0"/>
      <c:spPr>
        <a:noFill/>
        <a:ln>
          <a:noFill/>
        </a:ln>
        <a:effectLst/>
      </c:spPr>
    </c:title>
    <c:autoTitleDeleted val="0"/>
    <c:plotArea>
      <c:layout/>
      <c:lineChart>
        <c:grouping val="standard"/>
        <c:varyColors val="0"/>
        <c:ser>
          <c:idx val="0"/>
          <c:order val="0"/>
          <c:tx>
            <c:strRef>
              <c:f>Sheet1!$S$8</c:f>
              <c:strCache>
                <c:ptCount val="1"/>
                <c:pt idx="0">
                  <c:v>Bulker</c:v>
                </c:pt>
              </c:strCache>
            </c:strRef>
          </c:tx>
          <c:spPr>
            <a:ln w="22225" cap="rnd" cmpd="sng" algn="ctr">
              <a:solidFill>
                <a:schemeClr val="accent1"/>
              </a:solidFill>
              <a:round/>
            </a:ln>
            <a:effectLst/>
          </c:spPr>
          <c:marker>
            <c:symbol val="none"/>
          </c:marker>
          <c:cat>
            <c:numRef>
              <c:f>Sheet1!$T$7:$V$7</c:f>
              <c:numCache>
                <c:formatCode>General</c:formatCode>
                <c:ptCount val="3"/>
                <c:pt idx="0">
                  <c:v>2016</c:v>
                </c:pt>
                <c:pt idx="1">
                  <c:v>2017</c:v>
                </c:pt>
                <c:pt idx="2">
                  <c:v>2018</c:v>
                </c:pt>
              </c:numCache>
            </c:numRef>
          </c:cat>
          <c:val>
            <c:numRef>
              <c:f>Sheet1!$T$8:$V$8</c:f>
              <c:numCache>
                <c:formatCode>#,##0</c:formatCode>
                <c:ptCount val="3"/>
                <c:pt idx="0">
                  <c:v>3376.5390000000002</c:v>
                </c:pt>
                <c:pt idx="1">
                  <c:v>2568.268</c:v>
                </c:pt>
                <c:pt idx="2">
                  <c:v>1290.979</c:v>
                </c:pt>
              </c:numCache>
            </c:numRef>
          </c:val>
          <c:smooth val="0"/>
          <c:extLst xmlns:c16r2="http://schemas.microsoft.com/office/drawing/2015/06/chart">
            <c:ext xmlns:c16="http://schemas.microsoft.com/office/drawing/2014/chart" uri="{C3380CC4-5D6E-409C-BE32-E72D297353CC}">
              <c16:uniqueId val="{00000000-3917-4807-B687-9CCBE2F702A7}"/>
            </c:ext>
          </c:extLst>
        </c:ser>
        <c:ser>
          <c:idx val="1"/>
          <c:order val="1"/>
          <c:tx>
            <c:strRef>
              <c:f>Sheet1!$S$9</c:f>
              <c:strCache>
                <c:ptCount val="1"/>
                <c:pt idx="0">
                  <c:v>Container</c:v>
                </c:pt>
              </c:strCache>
            </c:strRef>
          </c:tx>
          <c:spPr>
            <a:ln w="22225" cap="rnd" cmpd="sng" algn="ctr">
              <a:solidFill>
                <a:schemeClr val="accent2"/>
              </a:solidFill>
              <a:round/>
            </a:ln>
            <a:effectLst/>
          </c:spPr>
          <c:marker>
            <c:symbol val="none"/>
          </c:marker>
          <c:cat>
            <c:numRef>
              <c:f>Sheet1!$T$7:$V$7</c:f>
              <c:numCache>
                <c:formatCode>General</c:formatCode>
                <c:ptCount val="3"/>
                <c:pt idx="0">
                  <c:v>2016</c:v>
                </c:pt>
                <c:pt idx="1">
                  <c:v>2017</c:v>
                </c:pt>
                <c:pt idx="2">
                  <c:v>2018</c:v>
                </c:pt>
              </c:numCache>
            </c:numRef>
          </c:cat>
          <c:val>
            <c:numRef>
              <c:f>Sheet1!$T$9:$V$9</c:f>
              <c:numCache>
                <c:formatCode>#,##0</c:formatCode>
                <c:ptCount val="3"/>
                <c:pt idx="0">
                  <c:v>129.947</c:v>
                </c:pt>
                <c:pt idx="1">
                  <c:v>275.755</c:v>
                </c:pt>
                <c:pt idx="2">
                  <c:v>53.816000000000003</c:v>
                </c:pt>
              </c:numCache>
            </c:numRef>
          </c:val>
          <c:smooth val="0"/>
          <c:extLst xmlns:c16r2="http://schemas.microsoft.com/office/drawing/2015/06/chart">
            <c:ext xmlns:c16="http://schemas.microsoft.com/office/drawing/2014/chart" uri="{C3380CC4-5D6E-409C-BE32-E72D297353CC}">
              <c16:uniqueId val="{00000001-3917-4807-B687-9CCBE2F702A7}"/>
            </c:ext>
          </c:extLst>
        </c:ser>
        <c:ser>
          <c:idx val="2"/>
          <c:order val="2"/>
          <c:tx>
            <c:strRef>
              <c:f>Sheet1!$S$10</c:f>
              <c:strCache>
                <c:ptCount val="1"/>
                <c:pt idx="0">
                  <c:v>Tanker</c:v>
                </c:pt>
              </c:strCache>
            </c:strRef>
          </c:tx>
          <c:spPr>
            <a:ln w="22225" cap="rnd" cmpd="sng" algn="ctr">
              <a:solidFill>
                <a:schemeClr val="accent3"/>
              </a:solidFill>
              <a:round/>
            </a:ln>
            <a:effectLst/>
          </c:spPr>
          <c:marker>
            <c:symbol val="none"/>
          </c:marker>
          <c:cat>
            <c:numRef>
              <c:f>Sheet1!$T$7:$V$7</c:f>
              <c:numCache>
                <c:formatCode>General</c:formatCode>
                <c:ptCount val="3"/>
                <c:pt idx="0">
                  <c:v>2016</c:v>
                </c:pt>
                <c:pt idx="1">
                  <c:v>2017</c:v>
                </c:pt>
                <c:pt idx="2">
                  <c:v>2018</c:v>
                </c:pt>
              </c:numCache>
            </c:numRef>
          </c:cat>
          <c:val>
            <c:numRef>
              <c:f>Sheet1!$T$10:$V$10</c:f>
              <c:numCache>
                <c:formatCode>#,##0</c:formatCode>
                <c:ptCount val="3"/>
                <c:pt idx="0">
                  <c:v>6.718</c:v>
                </c:pt>
                <c:pt idx="1">
                  <c:v>677.59100000000001</c:v>
                </c:pt>
                <c:pt idx="2">
                  <c:v>1736.4459999999999</c:v>
                </c:pt>
              </c:numCache>
            </c:numRef>
          </c:val>
          <c:smooth val="0"/>
          <c:extLst xmlns:c16r2="http://schemas.microsoft.com/office/drawing/2015/06/chart">
            <c:ext xmlns:c16="http://schemas.microsoft.com/office/drawing/2014/chart" uri="{C3380CC4-5D6E-409C-BE32-E72D297353CC}">
              <c16:uniqueId val="{00000002-3917-4807-B687-9CCBE2F702A7}"/>
            </c:ext>
          </c:extLst>
        </c:ser>
        <c:ser>
          <c:idx val="3"/>
          <c:order val="3"/>
          <c:tx>
            <c:strRef>
              <c:f>Sheet1!$S$11</c:f>
              <c:strCache>
                <c:ptCount val="1"/>
                <c:pt idx="0">
                  <c:v>Others</c:v>
                </c:pt>
              </c:strCache>
            </c:strRef>
          </c:tx>
          <c:spPr>
            <a:ln w="22225" cap="rnd" cmpd="sng" algn="ctr">
              <a:solidFill>
                <a:srgbClr val="00B0F0"/>
              </a:solidFill>
              <a:round/>
            </a:ln>
            <a:effectLst/>
          </c:spPr>
          <c:marker>
            <c:symbol val="none"/>
          </c:marker>
          <c:cat>
            <c:numRef>
              <c:f>Sheet1!$T$7:$V$7</c:f>
              <c:numCache>
                <c:formatCode>General</c:formatCode>
                <c:ptCount val="3"/>
                <c:pt idx="0">
                  <c:v>2016</c:v>
                </c:pt>
                <c:pt idx="1">
                  <c:v>2017</c:v>
                </c:pt>
                <c:pt idx="2">
                  <c:v>2018</c:v>
                </c:pt>
              </c:numCache>
            </c:numRef>
          </c:cat>
          <c:val>
            <c:numRef>
              <c:f>Sheet1!$T$11:$V$11</c:f>
              <c:numCache>
                <c:formatCode>#,##0</c:formatCode>
                <c:ptCount val="3"/>
                <c:pt idx="0">
                  <c:v>54.857999999999997</c:v>
                </c:pt>
                <c:pt idx="1">
                  <c:v>50.545000000000002</c:v>
                </c:pt>
                <c:pt idx="2">
                  <c:v>84.391999999999996</c:v>
                </c:pt>
              </c:numCache>
            </c:numRef>
          </c:val>
          <c:smooth val="0"/>
          <c:extLst xmlns:c16r2="http://schemas.microsoft.com/office/drawing/2015/06/chart">
            <c:ext xmlns:c16="http://schemas.microsoft.com/office/drawing/2014/chart" uri="{C3380CC4-5D6E-409C-BE32-E72D297353CC}">
              <c16:uniqueId val="{00000003-3917-4807-B687-9CCBE2F702A7}"/>
            </c:ext>
          </c:extLst>
        </c:ser>
        <c:dLbls>
          <c:showLegendKey val="0"/>
          <c:showVal val="0"/>
          <c:showCatName val="0"/>
          <c:showSerName val="0"/>
          <c:showPercent val="0"/>
          <c:showBubbleSize val="0"/>
        </c:dLbls>
        <c:dropLines>
          <c:spPr>
            <a:ln w="9525" cap="flat" cmpd="sng" algn="ctr">
              <a:solidFill>
                <a:schemeClr val="dk1">
                  <a:lumMod val="35000"/>
                  <a:lumOff val="65000"/>
                  <a:alpha val="33000"/>
                </a:schemeClr>
              </a:solidFill>
              <a:round/>
            </a:ln>
            <a:effectLst/>
          </c:spPr>
        </c:dropLines>
        <c:marker val="1"/>
        <c:smooth val="0"/>
        <c:axId val="53142656"/>
        <c:axId val="53144192"/>
      </c:lineChart>
      <c:catAx>
        <c:axId val="53142656"/>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zh-TW"/>
          </a:p>
        </c:txPr>
        <c:crossAx val="53144192"/>
        <c:crosses val="autoZero"/>
        <c:auto val="1"/>
        <c:lblAlgn val="ctr"/>
        <c:lblOffset val="100"/>
        <c:noMultiLvlLbl val="0"/>
      </c:catAx>
      <c:valAx>
        <c:axId val="53144192"/>
        <c:scaling>
          <c:orientation val="minMax"/>
          <c:max val="4000"/>
          <c:min val="0"/>
        </c:scaling>
        <c:delete val="0"/>
        <c:axPos val="l"/>
        <c:title>
          <c:tx>
            <c:rich>
              <a:bodyPr rot="-5400000" spcFirstLastPara="1" vertOverflow="ellipsis" vert="horz" wrap="square" anchor="ctr" anchorCtr="1"/>
              <a:lstStyle/>
              <a:p>
                <a:pPr>
                  <a:defRPr sz="900" b="0" i="0" u="none" strike="noStrike" kern="1200" cap="all" baseline="0">
                    <a:solidFill>
                      <a:schemeClr val="dk1">
                        <a:lumMod val="65000"/>
                        <a:lumOff val="35000"/>
                      </a:schemeClr>
                    </a:solidFill>
                    <a:latin typeface="+mn-lt"/>
                    <a:ea typeface="+mn-ea"/>
                    <a:cs typeface="+mn-cs"/>
                  </a:defRPr>
                </a:pPr>
                <a:r>
                  <a:rPr lang="en-US" altLang="ko-KR"/>
                  <a:t>,000</a:t>
                </a:r>
                <a:r>
                  <a:rPr lang="en-US" altLang="ko-KR" baseline="0"/>
                  <a:t> </a:t>
                </a:r>
                <a:r>
                  <a:rPr lang="en-US" altLang="ko-KR"/>
                  <a:t>dwt</a:t>
                </a:r>
                <a:endParaRPr lang="ko-KR" altLang="en-US"/>
              </a:p>
            </c:rich>
          </c:tx>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zh-TW"/>
          </a:p>
        </c:txPr>
        <c:crossAx val="53142656"/>
        <c:crosses val="autoZero"/>
        <c:crossBetween val="between"/>
      </c:valAx>
      <c:spPr>
        <a:gradFill>
          <a:gsLst>
            <a:gs pos="100000">
              <a:schemeClr val="lt1">
                <a:lumMod val="95000"/>
              </a:schemeClr>
            </a:gs>
            <a:gs pos="0">
              <a:schemeClr val="lt1"/>
            </a:gs>
          </a:gsLst>
          <a:lin ang="5400000" scaled="0"/>
        </a:grad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zh-TW"/>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zh-TW"/>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cap="none" spc="20" baseline="0">
                <a:solidFill>
                  <a:schemeClr val="dk1">
                    <a:lumMod val="50000"/>
                    <a:lumOff val="50000"/>
                  </a:schemeClr>
                </a:solidFill>
                <a:latin typeface="+mn-lt"/>
                <a:ea typeface="+mn-ea"/>
                <a:cs typeface="+mn-cs"/>
              </a:defRPr>
            </a:pPr>
            <a:r>
              <a:rPr lang="en-US" altLang="ko-KR" sz="1800" b="0" i="0" baseline="0">
                <a:effectLst/>
              </a:rPr>
              <a:t>World ship recycling trend by ship type</a:t>
            </a:r>
            <a:endParaRPr lang="ko-KR" altLang="ko-KR">
              <a:effectLst/>
            </a:endParaRPr>
          </a:p>
        </c:rich>
      </c:tx>
      <c:overlay val="0"/>
      <c:spPr>
        <a:noFill/>
        <a:ln>
          <a:noFill/>
        </a:ln>
        <a:effectLst/>
      </c:spPr>
    </c:title>
    <c:autoTitleDeleted val="0"/>
    <c:plotArea>
      <c:layout/>
      <c:lineChart>
        <c:grouping val="standard"/>
        <c:varyColors val="0"/>
        <c:ser>
          <c:idx val="0"/>
          <c:order val="0"/>
          <c:tx>
            <c:strRef>
              <c:f>Sheet1!$B$22</c:f>
              <c:strCache>
                <c:ptCount val="1"/>
                <c:pt idx="0">
                  <c:v>Bulker</c:v>
                </c:pt>
              </c:strCache>
            </c:strRef>
          </c:tx>
          <c:spPr>
            <a:ln w="22225" cap="rnd" cmpd="sng" algn="ctr">
              <a:solidFill>
                <a:schemeClr val="accent1"/>
              </a:solidFill>
              <a:round/>
            </a:ln>
            <a:effectLst/>
          </c:spPr>
          <c:marker>
            <c:symbol val="none"/>
          </c:marker>
          <c:cat>
            <c:numRef>
              <c:f>Sheet1!$C$21:$G$21</c:f>
              <c:numCache>
                <c:formatCode>General</c:formatCode>
                <c:ptCount val="5"/>
                <c:pt idx="0">
                  <c:v>2014</c:v>
                </c:pt>
                <c:pt idx="1">
                  <c:v>2015</c:v>
                </c:pt>
                <c:pt idx="2">
                  <c:v>2016</c:v>
                </c:pt>
                <c:pt idx="3">
                  <c:v>2017</c:v>
                </c:pt>
                <c:pt idx="4">
                  <c:v>2018</c:v>
                </c:pt>
              </c:numCache>
            </c:numRef>
          </c:cat>
          <c:val>
            <c:numRef>
              <c:f>Sheet1!$C$22:$G$22</c:f>
              <c:numCache>
                <c:formatCode>0</c:formatCode>
                <c:ptCount val="5"/>
                <c:pt idx="0">
                  <c:v>16.399999999999999</c:v>
                </c:pt>
                <c:pt idx="1">
                  <c:v>30.7</c:v>
                </c:pt>
                <c:pt idx="2">
                  <c:v>29.3</c:v>
                </c:pt>
                <c:pt idx="3">
                  <c:v>14.7</c:v>
                </c:pt>
                <c:pt idx="4">
                  <c:v>4.4000000000000004</c:v>
                </c:pt>
              </c:numCache>
            </c:numRef>
          </c:val>
          <c:smooth val="0"/>
          <c:extLst xmlns:c16r2="http://schemas.microsoft.com/office/drawing/2015/06/chart">
            <c:ext xmlns:c16="http://schemas.microsoft.com/office/drawing/2014/chart" uri="{C3380CC4-5D6E-409C-BE32-E72D297353CC}">
              <c16:uniqueId val="{00000000-B92B-456F-9B68-FDC7F198B938}"/>
            </c:ext>
          </c:extLst>
        </c:ser>
        <c:ser>
          <c:idx val="1"/>
          <c:order val="1"/>
          <c:tx>
            <c:strRef>
              <c:f>Sheet1!$B$23</c:f>
              <c:strCache>
                <c:ptCount val="1"/>
                <c:pt idx="0">
                  <c:v>Container</c:v>
                </c:pt>
              </c:strCache>
            </c:strRef>
          </c:tx>
          <c:spPr>
            <a:ln w="22225" cap="rnd" cmpd="sng" algn="ctr">
              <a:solidFill>
                <a:schemeClr val="accent2"/>
              </a:solidFill>
              <a:round/>
            </a:ln>
            <a:effectLst/>
          </c:spPr>
          <c:marker>
            <c:symbol val="none"/>
          </c:marker>
          <c:cat>
            <c:numRef>
              <c:f>Sheet1!$C$21:$G$21</c:f>
              <c:numCache>
                <c:formatCode>General</c:formatCode>
                <c:ptCount val="5"/>
                <c:pt idx="0">
                  <c:v>2014</c:v>
                </c:pt>
                <c:pt idx="1">
                  <c:v>2015</c:v>
                </c:pt>
                <c:pt idx="2">
                  <c:v>2016</c:v>
                </c:pt>
                <c:pt idx="3">
                  <c:v>2017</c:v>
                </c:pt>
                <c:pt idx="4">
                  <c:v>2018</c:v>
                </c:pt>
              </c:numCache>
            </c:numRef>
          </c:cat>
          <c:val>
            <c:numRef>
              <c:f>Sheet1!$C$23:$G$23</c:f>
              <c:numCache>
                <c:formatCode>0</c:formatCode>
                <c:ptCount val="5"/>
                <c:pt idx="0">
                  <c:v>5.3</c:v>
                </c:pt>
                <c:pt idx="1">
                  <c:v>2.9</c:v>
                </c:pt>
                <c:pt idx="2">
                  <c:v>8.6999999999999993</c:v>
                </c:pt>
                <c:pt idx="3">
                  <c:v>5.3</c:v>
                </c:pt>
                <c:pt idx="4">
                  <c:v>1.5</c:v>
                </c:pt>
              </c:numCache>
            </c:numRef>
          </c:val>
          <c:smooth val="0"/>
          <c:extLst xmlns:c16r2="http://schemas.microsoft.com/office/drawing/2015/06/chart">
            <c:ext xmlns:c16="http://schemas.microsoft.com/office/drawing/2014/chart" uri="{C3380CC4-5D6E-409C-BE32-E72D297353CC}">
              <c16:uniqueId val="{00000001-B92B-456F-9B68-FDC7F198B938}"/>
            </c:ext>
          </c:extLst>
        </c:ser>
        <c:ser>
          <c:idx val="2"/>
          <c:order val="2"/>
          <c:tx>
            <c:strRef>
              <c:f>Sheet1!$B$24</c:f>
              <c:strCache>
                <c:ptCount val="1"/>
                <c:pt idx="0">
                  <c:v>Tanker</c:v>
                </c:pt>
              </c:strCache>
            </c:strRef>
          </c:tx>
          <c:spPr>
            <a:ln w="22225" cap="rnd" cmpd="sng" algn="ctr">
              <a:solidFill>
                <a:schemeClr val="accent3"/>
              </a:solidFill>
              <a:round/>
            </a:ln>
            <a:effectLst/>
          </c:spPr>
          <c:marker>
            <c:symbol val="none"/>
          </c:marker>
          <c:cat>
            <c:numRef>
              <c:f>Sheet1!$C$21:$G$21</c:f>
              <c:numCache>
                <c:formatCode>General</c:formatCode>
                <c:ptCount val="5"/>
                <c:pt idx="0">
                  <c:v>2014</c:v>
                </c:pt>
                <c:pt idx="1">
                  <c:v>2015</c:v>
                </c:pt>
                <c:pt idx="2">
                  <c:v>2016</c:v>
                </c:pt>
                <c:pt idx="3">
                  <c:v>2017</c:v>
                </c:pt>
                <c:pt idx="4">
                  <c:v>2018</c:v>
                </c:pt>
              </c:numCache>
            </c:numRef>
          </c:cat>
          <c:val>
            <c:numRef>
              <c:f>Sheet1!$C$24:$G$24</c:f>
              <c:numCache>
                <c:formatCode>0</c:formatCode>
                <c:ptCount val="5"/>
                <c:pt idx="0">
                  <c:v>7.8</c:v>
                </c:pt>
                <c:pt idx="1">
                  <c:v>2.4</c:v>
                </c:pt>
                <c:pt idx="2">
                  <c:v>2.5</c:v>
                </c:pt>
                <c:pt idx="3">
                  <c:v>11.1</c:v>
                </c:pt>
                <c:pt idx="4">
                  <c:v>21.1</c:v>
                </c:pt>
              </c:numCache>
            </c:numRef>
          </c:val>
          <c:smooth val="0"/>
          <c:extLst xmlns:c16r2="http://schemas.microsoft.com/office/drawing/2015/06/chart">
            <c:ext xmlns:c16="http://schemas.microsoft.com/office/drawing/2014/chart" uri="{C3380CC4-5D6E-409C-BE32-E72D297353CC}">
              <c16:uniqueId val="{00000002-B92B-456F-9B68-FDC7F198B938}"/>
            </c:ext>
          </c:extLst>
        </c:ser>
        <c:ser>
          <c:idx val="3"/>
          <c:order val="3"/>
          <c:tx>
            <c:strRef>
              <c:f>Sheet1!$B$25</c:f>
              <c:strCache>
                <c:ptCount val="1"/>
                <c:pt idx="0">
                  <c:v>Gas Carrier</c:v>
                </c:pt>
              </c:strCache>
            </c:strRef>
          </c:tx>
          <c:spPr>
            <a:ln w="22225" cap="rnd" cmpd="sng" algn="ctr">
              <a:solidFill>
                <a:schemeClr val="accent4"/>
              </a:solidFill>
              <a:round/>
            </a:ln>
            <a:effectLst/>
          </c:spPr>
          <c:marker>
            <c:symbol val="none"/>
          </c:marker>
          <c:cat>
            <c:numRef>
              <c:f>Sheet1!$C$21:$G$21</c:f>
              <c:numCache>
                <c:formatCode>General</c:formatCode>
                <c:ptCount val="5"/>
                <c:pt idx="0">
                  <c:v>2014</c:v>
                </c:pt>
                <c:pt idx="1">
                  <c:v>2015</c:v>
                </c:pt>
                <c:pt idx="2">
                  <c:v>2016</c:v>
                </c:pt>
                <c:pt idx="3">
                  <c:v>2017</c:v>
                </c:pt>
                <c:pt idx="4">
                  <c:v>2018</c:v>
                </c:pt>
              </c:numCache>
            </c:numRef>
          </c:cat>
          <c:val>
            <c:numRef>
              <c:f>Sheet1!$C$25:$G$25</c:f>
              <c:numCache>
                <c:formatCode>0</c:formatCode>
                <c:ptCount val="5"/>
                <c:pt idx="0">
                  <c:v>0.3</c:v>
                </c:pt>
                <c:pt idx="1">
                  <c:v>0.3</c:v>
                </c:pt>
                <c:pt idx="2">
                  <c:v>0.4</c:v>
                </c:pt>
                <c:pt idx="3">
                  <c:v>0.4</c:v>
                </c:pt>
                <c:pt idx="4">
                  <c:v>1.1000000000000001</c:v>
                </c:pt>
              </c:numCache>
            </c:numRef>
          </c:val>
          <c:smooth val="0"/>
          <c:extLst xmlns:c16r2="http://schemas.microsoft.com/office/drawing/2015/06/chart">
            <c:ext xmlns:c16="http://schemas.microsoft.com/office/drawing/2014/chart" uri="{C3380CC4-5D6E-409C-BE32-E72D297353CC}">
              <c16:uniqueId val="{00000003-B92B-456F-9B68-FDC7F198B938}"/>
            </c:ext>
          </c:extLst>
        </c:ser>
        <c:ser>
          <c:idx val="4"/>
          <c:order val="4"/>
          <c:tx>
            <c:strRef>
              <c:f>Sheet1!$B$26</c:f>
              <c:strCache>
                <c:ptCount val="1"/>
                <c:pt idx="0">
                  <c:v>Others</c:v>
                </c:pt>
              </c:strCache>
            </c:strRef>
          </c:tx>
          <c:spPr>
            <a:ln w="22225" cap="rnd" cmpd="sng" algn="ctr">
              <a:solidFill>
                <a:schemeClr val="accent5"/>
              </a:solidFill>
              <a:round/>
            </a:ln>
            <a:effectLst/>
          </c:spPr>
          <c:marker>
            <c:symbol val="none"/>
          </c:marker>
          <c:cat>
            <c:numRef>
              <c:f>Sheet1!$C$21:$G$21</c:f>
              <c:numCache>
                <c:formatCode>General</c:formatCode>
                <c:ptCount val="5"/>
                <c:pt idx="0">
                  <c:v>2014</c:v>
                </c:pt>
                <c:pt idx="1">
                  <c:v>2015</c:v>
                </c:pt>
                <c:pt idx="2">
                  <c:v>2016</c:v>
                </c:pt>
                <c:pt idx="3">
                  <c:v>2017</c:v>
                </c:pt>
                <c:pt idx="4">
                  <c:v>2018</c:v>
                </c:pt>
              </c:numCache>
            </c:numRef>
          </c:cat>
          <c:val>
            <c:numRef>
              <c:f>Sheet1!$C$26:$G$26</c:f>
              <c:numCache>
                <c:formatCode>0</c:formatCode>
                <c:ptCount val="5"/>
                <c:pt idx="0">
                  <c:v>3.8</c:v>
                </c:pt>
                <c:pt idx="1">
                  <c:v>2.9</c:v>
                </c:pt>
                <c:pt idx="2">
                  <c:v>3.7</c:v>
                </c:pt>
                <c:pt idx="3">
                  <c:v>3.7</c:v>
                </c:pt>
                <c:pt idx="4">
                  <c:v>4.0999999999999996</c:v>
                </c:pt>
              </c:numCache>
            </c:numRef>
          </c:val>
          <c:smooth val="0"/>
          <c:extLst xmlns:c16r2="http://schemas.microsoft.com/office/drawing/2015/06/chart">
            <c:ext xmlns:c16="http://schemas.microsoft.com/office/drawing/2014/chart" uri="{C3380CC4-5D6E-409C-BE32-E72D297353CC}">
              <c16:uniqueId val="{00000004-B92B-456F-9B68-FDC7F198B938}"/>
            </c:ext>
          </c:extLst>
        </c:ser>
        <c:ser>
          <c:idx val="5"/>
          <c:order val="5"/>
          <c:tx>
            <c:strRef>
              <c:f>Sheet1!$B$27</c:f>
              <c:strCache>
                <c:ptCount val="1"/>
                <c:pt idx="0">
                  <c:v>Total</c:v>
                </c:pt>
              </c:strCache>
            </c:strRef>
          </c:tx>
          <c:spPr>
            <a:ln w="22225" cap="rnd" cmpd="sng" algn="ctr">
              <a:solidFill>
                <a:schemeClr val="tx1"/>
              </a:solidFill>
              <a:round/>
            </a:ln>
            <a:effectLst/>
          </c:spPr>
          <c:marker>
            <c:symbol val="none"/>
          </c:marker>
          <c:cat>
            <c:numRef>
              <c:f>Sheet1!$C$21:$G$21</c:f>
              <c:numCache>
                <c:formatCode>General</c:formatCode>
                <c:ptCount val="5"/>
                <c:pt idx="0">
                  <c:v>2014</c:v>
                </c:pt>
                <c:pt idx="1">
                  <c:v>2015</c:v>
                </c:pt>
                <c:pt idx="2">
                  <c:v>2016</c:v>
                </c:pt>
                <c:pt idx="3">
                  <c:v>2017</c:v>
                </c:pt>
                <c:pt idx="4">
                  <c:v>2018</c:v>
                </c:pt>
              </c:numCache>
            </c:numRef>
          </c:cat>
          <c:val>
            <c:numRef>
              <c:f>Sheet1!$C$27:$G$27</c:f>
              <c:numCache>
                <c:formatCode>0</c:formatCode>
                <c:ptCount val="5"/>
                <c:pt idx="0">
                  <c:v>33.6</c:v>
                </c:pt>
                <c:pt idx="1">
                  <c:v>39.1</c:v>
                </c:pt>
                <c:pt idx="2">
                  <c:v>44.7</c:v>
                </c:pt>
                <c:pt idx="3">
                  <c:v>35.299999999999997</c:v>
                </c:pt>
                <c:pt idx="4">
                  <c:v>32.1</c:v>
                </c:pt>
              </c:numCache>
            </c:numRef>
          </c:val>
          <c:smooth val="0"/>
          <c:extLst xmlns:c16r2="http://schemas.microsoft.com/office/drawing/2015/06/chart">
            <c:ext xmlns:c16="http://schemas.microsoft.com/office/drawing/2014/chart" uri="{C3380CC4-5D6E-409C-BE32-E72D297353CC}">
              <c16:uniqueId val="{00000005-B92B-456F-9B68-FDC7F198B938}"/>
            </c:ext>
          </c:extLst>
        </c:ser>
        <c:dLbls>
          <c:showLegendKey val="0"/>
          <c:showVal val="0"/>
          <c:showCatName val="0"/>
          <c:showSerName val="0"/>
          <c:showPercent val="0"/>
          <c:showBubbleSize val="0"/>
        </c:dLbls>
        <c:dropLines>
          <c:spPr>
            <a:ln w="9525" cap="flat" cmpd="sng" algn="ctr">
              <a:solidFill>
                <a:schemeClr val="dk1">
                  <a:lumMod val="35000"/>
                  <a:lumOff val="65000"/>
                  <a:alpha val="33000"/>
                </a:schemeClr>
              </a:solidFill>
              <a:round/>
            </a:ln>
            <a:effectLst/>
          </c:spPr>
        </c:dropLines>
        <c:marker val="1"/>
        <c:smooth val="0"/>
        <c:axId val="54128000"/>
        <c:axId val="54002816"/>
      </c:lineChart>
      <c:catAx>
        <c:axId val="54128000"/>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zh-TW"/>
          </a:p>
        </c:txPr>
        <c:crossAx val="54002816"/>
        <c:crossesAt val="0"/>
        <c:auto val="1"/>
        <c:lblAlgn val="ctr"/>
        <c:lblOffset val="100"/>
        <c:noMultiLvlLbl val="0"/>
      </c:catAx>
      <c:valAx>
        <c:axId val="54002816"/>
        <c:scaling>
          <c:orientation val="minMax"/>
          <c:max val="50"/>
          <c:min val="0"/>
        </c:scaling>
        <c:delete val="0"/>
        <c:axPos val="l"/>
        <c:title>
          <c:tx>
            <c:rich>
              <a:bodyPr rot="-5400000" spcFirstLastPara="1" vertOverflow="ellipsis" vert="horz" wrap="square" anchor="ctr" anchorCtr="1"/>
              <a:lstStyle/>
              <a:p>
                <a:pPr>
                  <a:defRPr sz="900" b="0" i="0" u="none" strike="noStrike" kern="1200" cap="all" baseline="0">
                    <a:solidFill>
                      <a:schemeClr val="dk1">
                        <a:lumMod val="65000"/>
                        <a:lumOff val="35000"/>
                      </a:schemeClr>
                    </a:solidFill>
                    <a:latin typeface="+mn-lt"/>
                    <a:ea typeface="+mn-ea"/>
                    <a:cs typeface="+mn-cs"/>
                  </a:defRPr>
                </a:pPr>
                <a:r>
                  <a:rPr lang="en-US"/>
                  <a:t>million DWT</a:t>
                </a:r>
                <a:endParaRPr lang="ko-KR"/>
              </a:p>
            </c:rich>
          </c:tx>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zh-TW"/>
          </a:p>
        </c:txPr>
        <c:crossAx val="54128000"/>
        <c:crosses val="autoZero"/>
        <c:crossBetween val="between"/>
        <c:majorUnit val="10"/>
      </c:valAx>
      <c:spPr>
        <a:gradFill>
          <a:gsLst>
            <a:gs pos="100000">
              <a:schemeClr val="lt1">
                <a:lumMod val="95000"/>
              </a:schemeClr>
            </a:gs>
            <a:gs pos="0">
              <a:schemeClr val="lt1"/>
            </a:gs>
          </a:gsLst>
          <a:lin ang="5400000" scaled="0"/>
        </a:grad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zh-TW"/>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dk1">
          <a:lumMod val="15000"/>
          <a:lumOff val="85000"/>
        </a:schemeClr>
      </a:solidFill>
      <a:round/>
    </a:ln>
    <a:effectLst/>
  </c:spPr>
  <c:txPr>
    <a:bodyPr/>
    <a:lstStyle/>
    <a:p>
      <a:pPr>
        <a:defRPr/>
      </a:pPr>
      <a:endParaRPr lang="zh-TW"/>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0">
  <cs:axisTitle>
    <cs:lnRef idx="0"/>
    <cs:fillRef idx="0"/>
    <cs:effectRef idx="0"/>
    <cs:fontRef idx="minor">
      <a:schemeClr val="dk1">
        <a:lumMod val="65000"/>
        <a:lumOff val="35000"/>
      </a:schemeClr>
    </cs:fontRef>
    <cs:defRPr sz="900" kern="1200" cap="all"/>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b="0" kern="1200" spc="20" baseline="0"/>
  </cs:categoryAxis>
  <cs:chartArea mods="allowNoLineOverride">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0"/>
    <cs:effectRef idx="0"/>
    <cs:fontRef idx="minor">
      <a:schemeClr val="dk1"/>
    </cs:fontRef>
    <cs:spPr>
      <a:ln w="22225" cap="rnd" cmpd="sng" algn="ctr">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cap="flat" cmpd="sng" algn="ctr">
        <a:solidFill>
          <a:schemeClr val="phClr"/>
        </a:solidFill>
        <a:round/>
      </a:ln>
    </cs:spPr>
  </cs:dataPointMarker>
  <cs:dataPointMarkerLayout symbol="circle" size="4"/>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dk1">
            <a:lumMod val="65000"/>
            <a:lumOff val="35000"/>
          </a:schemeClr>
        </a:solidFill>
      </a:ln>
    </cs:spPr>
  </cs:downBar>
  <cs:dropLine>
    <cs:lnRef idx="0"/>
    <cs:fillRef idx="0"/>
    <cs:effectRef idx="0"/>
    <cs:fontRef idx="minor">
      <a:schemeClr val="dk1"/>
    </cs:fontRef>
    <cs:spPr>
      <a:ln w="9525" cap="flat" cmpd="sng" algn="ctr">
        <a:solidFill>
          <a:schemeClr val="dk1">
            <a:lumMod val="35000"/>
            <a:lumOff val="65000"/>
            <a:alpha val="33000"/>
          </a:schemeClr>
        </a:solidFill>
        <a:round/>
      </a:ln>
    </cs:spPr>
  </cs:dropLine>
  <cs:errorBar>
    <cs:lnRef idx="0"/>
    <cs:fillRef idx="0"/>
    <cs:effectRef idx="0"/>
    <cs:fontRef idx="minor">
      <a:schemeClr val="dk1"/>
    </cs:fontRef>
    <cs:spPr>
      <a:ln w="9525">
        <a:solidFill>
          <a:schemeClr val="dk1">
            <a:lumMod val="65000"/>
            <a:lumOff val="35000"/>
          </a:schemeClr>
        </a:solidFill>
      </a:ln>
    </cs:spPr>
  </cs:errorBar>
  <cs:floor>
    <cs:lnRef idx="0"/>
    <cs:fillRef idx="0"/>
    <cs:effectRef idx="0"/>
    <cs:fontRef idx="minor">
      <a:schemeClr val="dk1"/>
    </cs:fontRef>
  </cs:floor>
  <cs:gridlineMajor>
    <cs:lnRef idx="0"/>
    <cs:fillRef idx="0"/>
    <cs:effectRef idx="0"/>
    <cs:fontRef idx="minor">
      <a:schemeClr val="dk1"/>
    </cs:fontRef>
    <cs:spPr>
      <a:ln>
        <a:solidFill>
          <a:schemeClr val="dk1">
            <a:lumMod val="15000"/>
            <a:lumOff val="85000"/>
          </a:schemeClr>
        </a:solidFill>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35000"/>
            <a:lumOff val="65000"/>
          </a:schemeClr>
        </a:solidFill>
      </a:ln>
    </cs:spPr>
  </cs:hiLoLine>
  <cs:leaderLine>
    <cs:lnRef idx="0"/>
    <cs:fillRef idx="0"/>
    <cs:effectRef idx="0"/>
    <cs:fontRef idx="minor">
      <a:schemeClr val="dk1"/>
    </cs:fontRef>
    <cs:spPr>
      <a:ln w="9525">
        <a:solidFill>
          <a:schemeClr val="dk1">
            <a:lumMod val="35000"/>
            <a:lumOff val="65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gradFill>
        <a:gsLst>
          <a:gs pos="100000">
            <a:schemeClr val="lt1">
              <a:lumMod val="95000"/>
            </a:schemeClr>
          </a:gs>
          <a:gs pos="0">
            <a:schemeClr val="lt1"/>
          </a:gs>
        </a:gsLst>
        <a:lin ang="5400000" scaled="0"/>
      </a:gradFill>
    </cs:spPr>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35000"/>
            <a:lumOff val="65000"/>
          </a:schemeClr>
        </a:solidFill>
        <a:prstDash val="dash"/>
      </a:ln>
    </cs:spPr>
  </cs:seriesLine>
  <cs:title>
    <cs:lnRef idx="0"/>
    <cs:fillRef idx="0"/>
    <cs:effectRef idx="0"/>
    <cs:fontRef idx="minor">
      <a:schemeClr val="dk1">
        <a:lumMod val="50000"/>
        <a:lumOff val="50000"/>
      </a:schemeClr>
    </cs:fontRef>
    <cs:defRPr sz="1400" kern="1200" cap="none" spc="2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65000"/>
        <a:lumOff val="35000"/>
      </a:schemeClr>
    </cs:fontRef>
    <cs:defRPr sz="900" kern="1200" spc="20" baseline="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30">
  <cs:axisTitle>
    <cs:lnRef idx="0"/>
    <cs:fillRef idx="0"/>
    <cs:effectRef idx="0"/>
    <cs:fontRef idx="minor">
      <a:schemeClr val="dk1">
        <a:lumMod val="65000"/>
        <a:lumOff val="35000"/>
      </a:schemeClr>
    </cs:fontRef>
    <cs:defRPr sz="900" kern="1200" cap="all"/>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b="0" kern="1200" spc="20" baseline="0"/>
  </cs:categoryAxis>
  <cs:chartArea mods="allowNoLineOverride">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0"/>
    <cs:effectRef idx="0"/>
    <cs:fontRef idx="minor">
      <a:schemeClr val="dk1"/>
    </cs:fontRef>
    <cs:spPr>
      <a:ln w="22225" cap="rnd" cmpd="sng" algn="ctr">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cap="flat" cmpd="sng" algn="ctr">
        <a:solidFill>
          <a:schemeClr val="phClr"/>
        </a:solidFill>
        <a:round/>
      </a:ln>
    </cs:spPr>
  </cs:dataPointMarker>
  <cs:dataPointMarkerLayout symbol="circle" size="4"/>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dk1">
            <a:lumMod val="65000"/>
            <a:lumOff val="35000"/>
          </a:schemeClr>
        </a:solidFill>
      </a:ln>
    </cs:spPr>
  </cs:downBar>
  <cs:dropLine>
    <cs:lnRef idx="0"/>
    <cs:fillRef idx="0"/>
    <cs:effectRef idx="0"/>
    <cs:fontRef idx="minor">
      <a:schemeClr val="dk1"/>
    </cs:fontRef>
    <cs:spPr>
      <a:ln w="9525" cap="flat" cmpd="sng" algn="ctr">
        <a:solidFill>
          <a:schemeClr val="dk1">
            <a:lumMod val="35000"/>
            <a:lumOff val="65000"/>
            <a:alpha val="33000"/>
          </a:schemeClr>
        </a:solidFill>
        <a:round/>
      </a:ln>
    </cs:spPr>
  </cs:dropLine>
  <cs:errorBar>
    <cs:lnRef idx="0"/>
    <cs:fillRef idx="0"/>
    <cs:effectRef idx="0"/>
    <cs:fontRef idx="minor">
      <a:schemeClr val="dk1"/>
    </cs:fontRef>
    <cs:spPr>
      <a:ln w="9525">
        <a:solidFill>
          <a:schemeClr val="dk1">
            <a:lumMod val="65000"/>
            <a:lumOff val="35000"/>
          </a:schemeClr>
        </a:solidFill>
      </a:ln>
    </cs:spPr>
  </cs:errorBar>
  <cs:floor>
    <cs:lnRef idx="0"/>
    <cs:fillRef idx="0"/>
    <cs:effectRef idx="0"/>
    <cs:fontRef idx="minor">
      <a:schemeClr val="dk1"/>
    </cs:fontRef>
  </cs:floor>
  <cs:gridlineMajor>
    <cs:lnRef idx="0"/>
    <cs:fillRef idx="0"/>
    <cs:effectRef idx="0"/>
    <cs:fontRef idx="minor">
      <a:schemeClr val="dk1"/>
    </cs:fontRef>
    <cs:spPr>
      <a:ln>
        <a:solidFill>
          <a:schemeClr val="dk1">
            <a:lumMod val="15000"/>
            <a:lumOff val="85000"/>
          </a:schemeClr>
        </a:solidFill>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35000"/>
            <a:lumOff val="65000"/>
          </a:schemeClr>
        </a:solidFill>
      </a:ln>
    </cs:spPr>
  </cs:hiLoLine>
  <cs:leaderLine>
    <cs:lnRef idx="0"/>
    <cs:fillRef idx="0"/>
    <cs:effectRef idx="0"/>
    <cs:fontRef idx="minor">
      <a:schemeClr val="dk1"/>
    </cs:fontRef>
    <cs:spPr>
      <a:ln w="9525">
        <a:solidFill>
          <a:schemeClr val="dk1">
            <a:lumMod val="35000"/>
            <a:lumOff val="65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gradFill>
        <a:gsLst>
          <a:gs pos="100000">
            <a:schemeClr val="lt1">
              <a:lumMod val="95000"/>
            </a:schemeClr>
          </a:gs>
          <a:gs pos="0">
            <a:schemeClr val="lt1"/>
          </a:gs>
        </a:gsLst>
        <a:lin ang="5400000" scaled="0"/>
      </a:gradFill>
    </cs:spPr>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35000"/>
            <a:lumOff val="65000"/>
          </a:schemeClr>
        </a:solidFill>
        <a:prstDash val="dash"/>
      </a:ln>
    </cs:spPr>
  </cs:seriesLine>
  <cs:title>
    <cs:lnRef idx="0"/>
    <cs:fillRef idx="0"/>
    <cs:effectRef idx="0"/>
    <cs:fontRef idx="minor">
      <a:schemeClr val="dk1">
        <a:lumMod val="50000"/>
        <a:lumOff val="50000"/>
      </a:schemeClr>
    </cs:fontRef>
    <cs:defRPr sz="1400" kern="1200" cap="none" spc="2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65000"/>
        <a:lumOff val="35000"/>
      </a:schemeClr>
    </cs:fontRef>
    <cs:defRPr sz="900" kern="1200" spc="20" baseline="0"/>
  </cs:valueAxis>
  <cs:wall>
    <cs:lnRef idx="0"/>
    <cs:fillRef idx="0"/>
    <cs:effectRef idx="0"/>
    <cs:fontRef idx="minor">
      <a:schemeClr val="dk1"/>
    </cs:fontRef>
  </cs:wall>
</cs:chartStyle>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3</TotalTime>
  <Pages>4</Pages>
  <Words>572</Words>
  <Characters>3266</Characters>
  <Application>Microsoft Office Word</Application>
  <DocSecurity>4</DocSecurity>
  <Lines>27</Lines>
  <Paragraphs>7</Paragraphs>
  <ScaleCrop>false</ScaleCrop>
  <HeadingPairs>
    <vt:vector size="2" baseType="variant">
      <vt:variant>
        <vt:lpstr>제목</vt:lpstr>
      </vt:variant>
      <vt:variant>
        <vt:i4>1</vt:i4>
      </vt:variant>
    </vt:vector>
  </HeadingPairs>
  <TitlesOfParts>
    <vt:vector size="1" baseType="lpstr">
      <vt:lpstr/>
    </vt:vector>
  </TitlesOfParts>
  <Company>Hewlett-Packard Company</Company>
  <LinksUpToDate>false</LinksUpToDate>
  <CharactersWithSpaces>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2019-02-20T09:24:00Z</cp:lastPrinted>
  <dcterms:created xsi:type="dcterms:W3CDTF">2019-02-20T09:40:00Z</dcterms:created>
  <dcterms:modified xsi:type="dcterms:W3CDTF">2019-02-20T09:40:00Z</dcterms:modified>
</cp:coreProperties>
</file>